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20"/>
        </w:rPr>
      </w:pPr>
    </w:p>
    <w:p>
      <w:pPr>
        <w:pStyle w:val="5"/>
        <w:rPr>
          <w:rFonts w:ascii="黑体"/>
          <w:b/>
          <w:sz w:val="44"/>
        </w:rPr>
      </w:pPr>
    </w:p>
    <w:p>
      <w:pPr>
        <w:spacing w:line="360" w:lineRule="auto"/>
        <w:ind w:firstLine="883" w:firstLineChars="200"/>
        <w:jc w:val="center"/>
        <w:rPr>
          <w:rFonts w:hint="eastAsia" w:ascii="宋体" w:hAnsi="宋体"/>
          <w:b/>
          <w:color w:val="000000"/>
          <w:sz w:val="44"/>
          <w:szCs w:val="44"/>
        </w:rPr>
      </w:pPr>
      <w:r>
        <w:rPr>
          <w:rFonts w:hint="eastAsia" w:ascii="宋体" w:hAnsi="宋体"/>
          <w:b/>
          <w:color w:val="000000"/>
          <w:sz w:val="44"/>
          <w:szCs w:val="44"/>
        </w:rPr>
        <w:t>芜湖安得智联福建分公司干线业务招标公告</w:t>
      </w:r>
    </w:p>
    <w:p>
      <w:pPr>
        <w:pStyle w:val="5"/>
        <w:rPr>
          <w:rFonts w:ascii="黑体"/>
          <w:b/>
          <w:sz w:val="44"/>
        </w:rPr>
      </w:pPr>
    </w:p>
    <w:p>
      <w:pPr>
        <w:pStyle w:val="5"/>
        <w:rPr>
          <w:rFonts w:ascii="黑体"/>
          <w:b/>
          <w:sz w:val="44"/>
        </w:rPr>
      </w:pPr>
    </w:p>
    <w:p>
      <w:pPr>
        <w:pStyle w:val="5"/>
        <w:rPr>
          <w:rFonts w:ascii="黑体"/>
          <w:b/>
          <w:sz w:val="44"/>
        </w:rPr>
      </w:pPr>
    </w:p>
    <w:p>
      <w:pPr>
        <w:pStyle w:val="5"/>
        <w:rPr>
          <w:rFonts w:ascii="黑体"/>
          <w:b/>
          <w:sz w:val="44"/>
        </w:rPr>
      </w:pPr>
    </w:p>
    <w:p>
      <w:pPr>
        <w:pStyle w:val="5"/>
        <w:rPr>
          <w:rFonts w:ascii="黑体"/>
          <w:b/>
          <w:sz w:val="44"/>
        </w:rPr>
      </w:pPr>
    </w:p>
    <w:p>
      <w:pPr>
        <w:pStyle w:val="5"/>
        <w:rPr>
          <w:rFonts w:ascii="黑体"/>
          <w:b/>
          <w:sz w:val="44"/>
        </w:rPr>
      </w:pPr>
    </w:p>
    <w:p>
      <w:pPr>
        <w:pStyle w:val="5"/>
        <w:rPr>
          <w:rFonts w:ascii="黑体"/>
          <w:b/>
          <w:sz w:val="44"/>
        </w:rPr>
      </w:pPr>
    </w:p>
    <w:p>
      <w:pPr>
        <w:pStyle w:val="5"/>
        <w:rPr>
          <w:rFonts w:ascii="黑体"/>
          <w:b/>
          <w:sz w:val="44"/>
        </w:rPr>
      </w:pPr>
    </w:p>
    <w:p>
      <w:pPr>
        <w:pStyle w:val="5"/>
        <w:spacing w:before="7"/>
        <w:rPr>
          <w:rFonts w:ascii="黑体"/>
          <w:b/>
          <w:sz w:val="45"/>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b/>
          <w:sz w:val="30"/>
          <w:szCs w:val="30"/>
          <w:lang w:val="en-US" w:bidi="ar-SA"/>
        </w:rPr>
      </w:pPr>
      <w:r>
        <w:rPr>
          <w:rFonts w:hint="eastAsia" w:ascii="宋体" w:hAnsi="宋体" w:cs="Times New Roman"/>
          <w:b/>
          <w:sz w:val="30"/>
          <w:szCs w:val="30"/>
          <w:lang w:val="en-US" w:bidi="ar-SA"/>
        </w:rPr>
        <w:t>招标单位：</w:t>
      </w:r>
      <w:r>
        <w:rPr>
          <w:rFonts w:hint="eastAsia" w:ascii="宋体" w:hAnsi="宋体" w:cs="Times New Roman"/>
          <w:b w:val="0"/>
          <w:bCs/>
          <w:sz w:val="30"/>
          <w:szCs w:val="30"/>
          <w:lang w:val="en-US" w:bidi="ar-SA"/>
        </w:rPr>
        <w:t>芜湖安得智联科技有限公司福建分公司</w:t>
      </w:r>
      <w:r>
        <w:rPr>
          <w:rFonts w:hint="eastAsia" w:ascii="宋体" w:hAnsi="宋体" w:cs="Times New Roman"/>
          <w:b w:val="0"/>
          <w:bCs/>
          <w:sz w:val="30"/>
          <w:szCs w:val="30"/>
          <w:lang w:val="en-US" w:bidi="ar-SA"/>
        </w:rPr>
        <w:br w:type="textWrapping"/>
      </w:r>
      <w:r>
        <w:rPr>
          <w:rFonts w:hint="eastAsia" w:ascii="宋体" w:hAnsi="宋体" w:cs="Times New Roman"/>
          <w:b/>
          <w:sz w:val="30"/>
          <w:szCs w:val="30"/>
          <w:lang w:val="en-US" w:bidi="ar-SA"/>
        </w:rPr>
        <w:t>招标时间：</w:t>
      </w:r>
      <w:r>
        <w:rPr>
          <w:rFonts w:hint="eastAsia" w:ascii="宋体" w:hAnsi="宋体" w:cs="Times New Roman"/>
          <w:b w:val="0"/>
          <w:bCs/>
          <w:sz w:val="30"/>
          <w:szCs w:val="30"/>
          <w:lang w:val="en-US" w:bidi="ar-SA"/>
        </w:rPr>
        <w:t>202</w:t>
      </w:r>
      <w:r>
        <w:rPr>
          <w:rFonts w:hint="eastAsia" w:cs="Times New Roman"/>
          <w:b w:val="0"/>
          <w:bCs/>
          <w:sz w:val="30"/>
          <w:szCs w:val="30"/>
          <w:lang w:val="en-US" w:eastAsia="zh-CN" w:bidi="ar-SA"/>
        </w:rPr>
        <w:t>5</w:t>
      </w:r>
      <w:r>
        <w:rPr>
          <w:rFonts w:hint="eastAsia" w:ascii="宋体" w:hAnsi="宋体" w:cs="Times New Roman"/>
          <w:b w:val="0"/>
          <w:bCs/>
          <w:sz w:val="30"/>
          <w:szCs w:val="30"/>
          <w:lang w:val="en-US" w:bidi="ar-SA"/>
        </w:rPr>
        <w:t xml:space="preserve"> 年 </w:t>
      </w:r>
      <w:r>
        <w:rPr>
          <w:rFonts w:hint="eastAsia" w:cs="Times New Roman"/>
          <w:b w:val="0"/>
          <w:bCs/>
          <w:sz w:val="30"/>
          <w:szCs w:val="30"/>
          <w:lang w:val="en-US" w:eastAsia="zh-CN" w:bidi="ar-SA"/>
        </w:rPr>
        <w:t>1</w:t>
      </w:r>
      <w:r>
        <w:rPr>
          <w:rFonts w:hint="eastAsia" w:ascii="宋体" w:hAnsi="宋体" w:cs="Times New Roman"/>
          <w:b w:val="0"/>
          <w:bCs/>
          <w:sz w:val="30"/>
          <w:szCs w:val="30"/>
          <w:lang w:val="en-US" w:bidi="ar-SA"/>
        </w:rPr>
        <w:t>月</w:t>
      </w:r>
      <w:r>
        <w:rPr>
          <w:rFonts w:hint="eastAsia" w:cs="Times New Roman"/>
          <w:b w:val="0"/>
          <w:bCs/>
          <w:sz w:val="30"/>
          <w:szCs w:val="30"/>
          <w:lang w:val="en-US" w:eastAsia="zh-CN" w:bidi="ar-SA"/>
        </w:rPr>
        <w:t>10</w:t>
      </w:r>
      <w:r>
        <w:rPr>
          <w:rFonts w:hint="eastAsia" w:ascii="宋体" w:hAnsi="宋体" w:cs="Times New Roman"/>
          <w:b w:val="0"/>
          <w:bCs/>
          <w:sz w:val="30"/>
          <w:szCs w:val="30"/>
          <w:lang w:val="en-US" w:bidi="ar-SA"/>
        </w:rPr>
        <w:t>日(未完成顺延)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b w:val="0"/>
          <w:bCs/>
          <w:sz w:val="30"/>
          <w:szCs w:val="30"/>
          <w:lang w:val="en-US" w:bidi="ar-SA"/>
        </w:rPr>
      </w:pPr>
      <w:r>
        <w:rPr>
          <w:rFonts w:hint="eastAsia" w:ascii="宋体" w:hAnsi="宋体" w:cs="Times New Roman"/>
          <w:b/>
          <w:sz w:val="30"/>
          <w:szCs w:val="30"/>
          <w:lang w:val="en-US" w:bidi="ar-SA"/>
        </w:rPr>
        <w:t>招标地点：</w:t>
      </w:r>
      <w:r>
        <w:rPr>
          <w:rFonts w:hint="eastAsia" w:ascii="宋体" w:hAnsi="宋体" w:cs="Times New Roman"/>
          <w:b w:val="0"/>
          <w:bCs/>
          <w:sz w:val="30"/>
          <w:szCs w:val="30"/>
          <w:lang w:val="en-US" w:bidi="ar-SA"/>
        </w:rPr>
        <w:t>福建省晋江市陈埭镇滨江商务区10栋2401室</w:t>
      </w:r>
    </w:p>
    <w:p>
      <w:pPr>
        <w:spacing w:before="2"/>
        <w:ind w:left="1713"/>
        <w:rPr>
          <w:b/>
          <w:sz w:val="32"/>
        </w:rPr>
      </w:pPr>
    </w:p>
    <w:p>
      <w:pPr>
        <w:rPr>
          <w:sz w:val="32"/>
        </w:rPr>
        <w:sectPr>
          <w:headerReference r:id="rId3" w:type="default"/>
          <w:type w:val="continuous"/>
          <w:pgSz w:w="11910" w:h="16840"/>
          <w:pgMar w:top="1420" w:right="1000" w:bottom="280" w:left="1020" w:header="851" w:footer="720" w:gutter="0"/>
          <w:pgNumType w:fmt="decimal"/>
          <w:cols w:space="720" w:num="1"/>
        </w:sectPr>
      </w:pPr>
    </w:p>
    <w:p>
      <w:pPr>
        <w:pStyle w:val="5"/>
        <w:rPr>
          <w:b/>
          <w:sz w:val="20"/>
        </w:rPr>
      </w:pPr>
    </w:p>
    <w:p>
      <w:pPr>
        <w:pStyle w:val="5"/>
        <w:rPr>
          <w:b/>
          <w:sz w:val="20"/>
        </w:rPr>
      </w:pPr>
    </w:p>
    <w:p>
      <w:pPr>
        <w:pStyle w:val="5"/>
        <w:rPr>
          <w:b/>
          <w:sz w:val="20"/>
        </w:rPr>
      </w:pPr>
    </w:p>
    <w:p>
      <w:pPr>
        <w:pStyle w:val="2"/>
        <w:spacing w:before="181"/>
        <w:ind w:left="99" w:right="117" w:firstLine="0"/>
        <w:jc w:val="center"/>
      </w:pPr>
      <w:r>
        <w:t>招标文件目录</w:t>
      </w:r>
    </w:p>
    <w:p>
      <w:pPr>
        <w:pStyle w:val="5"/>
        <w:rPr>
          <w:rFonts w:ascii="黑体"/>
          <w:b/>
          <w:sz w:val="20"/>
        </w:rPr>
      </w:pPr>
    </w:p>
    <w:p>
      <w:pPr>
        <w:pStyle w:val="5"/>
        <w:rPr>
          <w:rFonts w:ascii="黑体"/>
          <w:b/>
          <w:sz w:val="20"/>
        </w:rPr>
      </w:pPr>
    </w:p>
    <w:p>
      <w:pPr>
        <w:pStyle w:val="5"/>
        <w:spacing w:before="5"/>
        <w:rPr>
          <w:rFonts w:ascii="黑体"/>
          <w:b/>
          <w:sz w:val="27"/>
        </w:rPr>
      </w:pPr>
      <w:bookmarkStart w:id="0" w:name="_GoBack"/>
      <w:bookmarkEnd w:id="0"/>
    </w:p>
    <w:p>
      <w:pPr>
        <w:tabs>
          <w:tab w:val="left" w:pos="833"/>
        </w:tabs>
        <w:spacing w:before="66" w:line="638" w:lineRule="auto"/>
        <w:ind w:left="112" w:right="7364"/>
        <w:rPr>
          <w:b/>
          <w:sz w:val="24"/>
        </w:rPr>
      </w:pPr>
      <w:r>
        <w:rPr>
          <w:b/>
          <w:sz w:val="24"/>
        </w:rPr>
        <w:t>一、</w:t>
      </w:r>
      <w:r>
        <w:rPr>
          <w:b/>
          <w:sz w:val="24"/>
        </w:rPr>
        <w:tab/>
      </w:r>
      <w:r>
        <w:rPr>
          <w:b/>
          <w:sz w:val="24"/>
        </w:rPr>
        <w:t>投标承诺书   二、</w:t>
      </w:r>
      <w:r>
        <w:rPr>
          <w:b/>
          <w:sz w:val="24"/>
        </w:rPr>
        <w:tab/>
      </w:r>
      <w:r>
        <w:rPr>
          <w:b/>
          <w:sz w:val="24"/>
        </w:rPr>
        <w:t>竞标单位回执</w:t>
      </w:r>
      <w:r>
        <w:rPr>
          <w:b/>
          <w:w w:val="99"/>
          <w:sz w:val="24"/>
        </w:rPr>
        <w:t xml:space="preserve">  </w:t>
      </w:r>
    </w:p>
    <w:p>
      <w:pPr>
        <w:tabs>
          <w:tab w:val="left" w:pos="833"/>
        </w:tabs>
        <w:spacing w:before="2"/>
        <w:ind w:left="112"/>
        <w:rPr>
          <w:rFonts w:hint="eastAsia"/>
          <w:b/>
          <w:sz w:val="24"/>
        </w:rPr>
      </w:pPr>
      <w:r>
        <w:rPr>
          <w:b/>
          <w:sz w:val="24"/>
        </w:rPr>
        <w:t>三、</w:t>
      </w:r>
      <w:r>
        <w:rPr>
          <w:b/>
          <w:sz w:val="24"/>
        </w:rPr>
        <w:tab/>
      </w:r>
      <w:r>
        <w:rPr>
          <w:rFonts w:hint="eastAsia"/>
          <w:b/>
          <w:sz w:val="24"/>
        </w:rPr>
        <w:t>芜湖安得智联福建分公司干线业务招标公告</w:t>
      </w:r>
    </w:p>
    <w:p>
      <w:pPr>
        <w:pStyle w:val="5"/>
        <w:rPr>
          <w:b/>
          <w:sz w:val="24"/>
        </w:rPr>
      </w:pPr>
    </w:p>
    <w:p>
      <w:pPr>
        <w:tabs>
          <w:tab w:val="left" w:pos="833"/>
        </w:tabs>
        <w:spacing w:before="203"/>
        <w:ind w:left="112"/>
        <w:rPr>
          <w:b/>
          <w:sz w:val="24"/>
        </w:rPr>
      </w:pPr>
      <w:r>
        <w:rPr>
          <w:b/>
          <w:sz w:val="24"/>
        </w:rPr>
        <w:t>四、</w:t>
      </w:r>
      <w:r>
        <w:rPr>
          <w:b/>
          <w:sz w:val="24"/>
        </w:rPr>
        <w:tab/>
      </w:r>
      <w:r>
        <w:rPr>
          <w:b/>
          <w:sz w:val="24"/>
        </w:rPr>
        <w:t>相关附件：</w:t>
      </w:r>
      <w:r>
        <w:rPr>
          <w:b/>
          <w:w w:val="99"/>
          <w:sz w:val="24"/>
        </w:rPr>
        <w:t xml:space="preserve"> </w:t>
      </w:r>
    </w:p>
    <w:p>
      <w:pPr>
        <w:pStyle w:val="5"/>
        <w:spacing w:before="3"/>
        <w:rPr>
          <w:b/>
          <w:sz w:val="31"/>
        </w:rPr>
      </w:pPr>
    </w:p>
    <w:p>
      <w:pPr>
        <w:spacing w:before="1"/>
        <w:ind w:left="833"/>
        <w:rPr>
          <w:sz w:val="24"/>
        </w:rPr>
      </w:pPr>
      <w:r>
        <w:rPr>
          <w:sz w:val="24"/>
        </w:rPr>
        <w:t xml:space="preserve">1、中标后正式合同模板：《公路运输服务合同 A》 </w:t>
      </w:r>
    </w:p>
    <w:p>
      <w:pPr>
        <w:spacing w:before="172" w:line="463" w:lineRule="auto"/>
        <w:ind w:left="833" w:right="2570"/>
        <w:rPr>
          <w:b/>
          <w:sz w:val="24"/>
        </w:rPr>
      </w:pPr>
      <w:r>
        <w:rPr>
          <w:b/>
          <w:sz w:val="24"/>
        </w:rPr>
        <w:t>注：以上附件根据不同业务类型单独提供至中标供应商；</w:t>
      </w:r>
      <w:r>
        <w:rPr>
          <w:b/>
          <w:w w:val="99"/>
          <w:sz w:val="24"/>
        </w:rPr>
        <w:t xml:space="preserve"> </w:t>
      </w:r>
    </w:p>
    <w:p>
      <w:pPr>
        <w:pStyle w:val="4"/>
        <w:spacing w:before="62"/>
      </w:pPr>
      <w:r>
        <w:rPr>
          <w:w w:val="99"/>
        </w:rPr>
        <w:t xml:space="preserve"> </w:t>
      </w:r>
    </w:p>
    <w:p>
      <w:pPr>
        <w:sectPr>
          <w:headerReference r:id="rId4" w:type="default"/>
          <w:footerReference r:id="rId5" w:type="default"/>
          <w:pgSz w:w="11910" w:h="16840"/>
          <w:pgMar w:top="1420" w:right="1000" w:bottom="980" w:left="1020" w:header="851" w:footer="793" w:gutter="0"/>
          <w:pgNumType w:fmt="decimal" w:start="2"/>
          <w:cols w:space="720" w:num="1"/>
        </w:sectPr>
      </w:pPr>
    </w:p>
    <w:p>
      <w:pPr>
        <w:pStyle w:val="5"/>
        <w:rPr>
          <w:b/>
          <w:sz w:val="20"/>
        </w:rPr>
      </w:pPr>
    </w:p>
    <w:p>
      <w:pPr>
        <w:pStyle w:val="5"/>
        <w:spacing w:before="3"/>
        <w:rPr>
          <w:b/>
          <w:sz w:val="22"/>
        </w:rPr>
      </w:pPr>
    </w:p>
    <w:p>
      <w:pPr>
        <w:sectPr>
          <w:pgSz w:w="11910" w:h="16840"/>
          <w:pgMar w:top="1420" w:right="1000" w:bottom="980" w:left="1020" w:header="851" w:footer="793" w:gutter="0"/>
          <w:pgNumType w:fmt="decimal"/>
          <w:cols w:space="720" w:num="1"/>
        </w:sectPr>
      </w:pPr>
    </w:p>
    <w:p>
      <w:pPr>
        <w:pStyle w:val="5"/>
        <w:rPr>
          <w:b/>
          <w:sz w:val="24"/>
        </w:rPr>
      </w:pPr>
    </w:p>
    <w:p>
      <w:pPr>
        <w:pStyle w:val="5"/>
        <w:spacing w:before="5"/>
        <w:rPr>
          <w:b/>
          <w:sz w:val="25"/>
        </w:rPr>
      </w:pPr>
    </w:p>
    <w:p>
      <w:pPr>
        <w:ind w:left="595"/>
        <w:rPr>
          <w:b/>
          <w:sz w:val="24"/>
        </w:rPr>
      </w:pPr>
      <w:r>
        <w:rPr>
          <w:b/>
          <w:sz w:val="24"/>
        </w:rPr>
        <w:t>芜湖安得智联科技有限公司：</w:t>
      </w:r>
      <w:r>
        <w:rPr>
          <w:b/>
          <w:w w:val="99"/>
          <w:sz w:val="24"/>
        </w:rPr>
        <w:t xml:space="preserve"> </w:t>
      </w:r>
    </w:p>
    <w:p>
      <w:pPr>
        <w:spacing w:before="49"/>
        <w:ind w:left="139"/>
        <w:rPr>
          <w:rFonts w:ascii="黑体" w:eastAsia="黑体"/>
          <w:b/>
          <w:sz w:val="36"/>
        </w:rPr>
      </w:pPr>
      <w:r>
        <w:br w:type="column"/>
      </w:r>
      <w:r>
        <w:rPr>
          <w:rFonts w:hint="eastAsia" w:ascii="黑体" w:eastAsia="黑体"/>
          <w:b/>
          <w:sz w:val="36"/>
        </w:rPr>
        <w:t>投标承诺书</w:t>
      </w:r>
    </w:p>
    <w:p>
      <w:pPr>
        <w:rPr>
          <w:rFonts w:ascii="黑体" w:eastAsia="黑体"/>
          <w:sz w:val="36"/>
        </w:rPr>
        <w:sectPr>
          <w:type w:val="continuous"/>
          <w:pgSz w:w="11910" w:h="16840"/>
          <w:pgMar w:top="1420" w:right="1000" w:bottom="280" w:left="1020" w:header="720" w:footer="720" w:gutter="0"/>
          <w:pgNumType w:fmt="decimal"/>
          <w:cols w:equalWidth="0" w:num="2">
            <w:col w:w="3849" w:space="40"/>
            <w:col w:w="6001"/>
          </w:cols>
        </w:sectPr>
      </w:pPr>
    </w:p>
    <w:p>
      <w:pPr>
        <w:tabs>
          <w:tab w:val="left" w:pos="833"/>
        </w:tabs>
        <w:spacing w:before="2"/>
        <w:ind w:left="112"/>
        <w:rPr>
          <w:rFonts w:hint="eastAsia"/>
          <w:b/>
          <w:sz w:val="24"/>
        </w:rPr>
      </w:pPr>
      <w:r>
        <w:rPr>
          <w:spacing w:val="-1"/>
          <w:sz w:val="24"/>
        </w:rPr>
        <w:t>本公司收到并详细阅读了贵公司招标文件目录中的所有文件，知悉招标文件中所有约定</w:t>
      </w:r>
      <w:r>
        <w:rPr>
          <w:spacing w:val="-2"/>
          <w:sz w:val="24"/>
        </w:rPr>
        <w:t>和相关条款，现本公司自愿参加</w:t>
      </w:r>
      <w:r>
        <w:rPr>
          <w:rFonts w:hint="eastAsia"/>
          <w:b/>
          <w:sz w:val="24"/>
        </w:rPr>
        <w:t>芜湖安得智联福建分公司干线业务招标公告</w:t>
      </w:r>
    </w:p>
    <w:p>
      <w:pPr>
        <w:spacing w:before="93" w:line="312" w:lineRule="auto"/>
        <w:ind w:left="112" w:right="169" w:firstLine="480"/>
        <w:jc w:val="both"/>
        <w:rPr>
          <w:sz w:val="24"/>
        </w:rPr>
      </w:pPr>
      <w:r>
        <w:rPr>
          <w:rFonts w:hint="eastAsia"/>
          <w:spacing w:val="-2"/>
          <w:sz w:val="24"/>
        </w:rPr>
        <w:t>招标</w:t>
      </w:r>
      <w:r>
        <w:rPr>
          <w:sz w:val="24"/>
        </w:rPr>
        <w:t>，并对本次投标承诺如下：</w:t>
      </w:r>
    </w:p>
    <w:p>
      <w:pPr>
        <w:tabs>
          <w:tab w:val="left" w:pos="833"/>
        </w:tabs>
        <w:spacing w:before="2"/>
        <w:ind w:left="112"/>
        <w:rPr>
          <w:b/>
          <w:sz w:val="24"/>
        </w:rPr>
      </w:pPr>
      <w:r>
        <w:rPr>
          <w:sz w:val="24"/>
        </w:rPr>
        <w:t>1、赞成</w:t>
      </w:r>
      <w:r>
        <w:rPr>
          <w:rFonts w:hint="eastAsia"/>
          <w:b/>
          <w:sz w:val="24"/>
        </w:rPr>
        <w:t>芜湖安得智联福建分公司干线业务招标公告</w:t>
      </w:r>
      <w:r>
        <w:rPr>
          <w:b/>
          <w:w w:val="99"/>
          <w:sz w:val="24"/>
        </w:rPr>
        <w:t xml:space="preserve"> </w:t>
      </w:r>
      <w:r>
        <w:rPr>
          <w:sz w:val="24"/>
        </w:rPr>
        <w:t xml:space="preserve">文件。 </w:t>
      </w:r>
    </w:p>
    <w:p>
      <w:pPr>
        <w:spacing w:before="93" w:line="312" w:lineRule="auto"/>
        <w:ind w:left="112" w:right="291" w:firstLine="480"/>
        <w:rPr>
          <w:sz w:val="24"/>
        </w:rPr>
      </w:pPr>
      <w:r>
        <w:rPr>
          <w:sz w:val="24"/>
        </w:rPr>
        <w:t xml:space="preserve">2、接受招标文件对投标单位的所有约束条款，严格按照招标文件所限定的时间完成投标工作，并遵从贵司在本次招标过程中的每一项规定。 </w:t>
      </w:r>
    </w:p>
    <w:p>
      <w:pPr>
        <w:spacing w:line="312" w:lineRule="auto"/>
        <w:ind w:left="112" w:right="289" w:firstLine="480"/>
        <w:rPr>
          <w:sz w:val="24"/>
        </w:rPr>
      </w:pPr>
      <w:r>
        <w:rPr>
          <w:sz w:val="24"/>
        </w:rPr>
        <w:t xml:space="preserve">3、若中标，我司承诺按招标要求按时签订运输合同，并按时交纳足额履约保证金。如我司拒签合同或不缴纳（含缴纳不足）履约保证金，同意贵公司全额没收投标保证金。 </w:t>
      </w:r>
    </w:p>
    <w:p>
      <w:pPr>
        <w:spacing w:line="312" w:lineRule="auto"/>
        <w:ind w:left="112" w:right="291" w:firstLine="480"/>
        <w:rPr>
          <w:sz w:val="24"/>
        </w:rPr>
      </w:pPr>
      <w:r>
        <w:rPr>
          <w:sz w:val="24"/>
        </w:rPr>
        <w:t xml:space="preserve">4、若中标，我公司未按合同要求完成运输指令，贵公司可自行组织发运，实际运价与合同价格的差价由我公司承担。 </w:t>
      </w:r>
    </w:p>
    <w:p>
      <w:pPr>
        <w:spacing w:before="2" w:line="312" w:lineRule="auto"/>
        <w:ind w:left="112" w:right="291" w:firstLine="480"/>
        <w:rPr>
          <w:sz w:val="24"/>
        </w:rPr>
      </w:pPr>
      <w:r>
        <w:rPr>
          <w:sz w:val="24"/>
        </w:rPr>
        <w:t xml:space="preserve">5、我公司如果在合同有效期内，实际运作达不到贵公司要求或者提出申请退出运作线路，同意按照贵公司制定的退出机制处理。 </w:t>
      </w:r>
    </w:p>
    <w:p>
      <w:pPr>
        <w:spacing w:line="312" w:lineRule="auto"/>
        <w:ind w:left="112" w:right="291" w:firstLine="480"/>
        <w:rPr>
          <w:sz w:val="24"/>
        </w:rPr>
      </w:pPr>
      <w:r>
        <w:rPr>
          <w:sz w:val="24"/>
        </w:rPr>
        <w:t xml:space="preserve">6、我公司如果在合同有效期内擅自解除合同或严重违约或拒不履行贵公司下达的运输任务，同意贵公司全额没收履约保证金及未结算运费，并承担由此给贵公司带来的经济损失。 </w:t>
      </w:r>
    </w:p>
    <w:p>
      <w:pPr>
        <w:spacing w:before="1" w:line="312" w:lineRule="auto"/>
        <w:ind w:left="112" w:right="289" w:firstLine="480"/>
        <w:rPr>
          <w:sz w:val="24"/>
        </w:rPr>
      </w:pPr>
      <w:r>
        <w:rPr>
          <w:sz w:val="24"/>
        </w:rPr>
        <w:t xml:space="preserve">7、除非达成新的协议，贵公司的招标文件和本投标承诺书将构成约束我们双方的合同条款。 </w:t>
      </w: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6"/>
        </w:rPr>
      </w:pPr>
    </w:p>
    <w:p>
      <w:pPr>
        <w:tabs>
          <w:tab w:val="left" w:pos="6253"/>
        </w:tabs>
        <w:ind w:left="672"/>
        <w:jc w:val="both"/>
        <w:rPr>
          <w:sz w:val="24"/>
        </w:rPr>
      </w:pPr>
      <w:r>
        <w:rPr>
          <w:sz w:val="24"/>
        </w:rPr>
        <w:t>投标单位（公章）：</w:t>
      </w:r>
      <w:r>
        <w:rPr>
          <w:sz w:val="24"/>
        </w:rPr>
        <w:tab/>
      </w:r>
      <w:r>
        <w:rPr>
          <w:sz w:val="24"/>
        </w:rPr>
        <w:t>法定代表人（签字）：</w:t>
      </w:r>
    </w:p>
    <w:p>
      <w:pPr>
        <w:pStyle w:val="5"/>
        <w:rPr>
          <w:sz w:val="24"/>
        </w:rPr>
      </w:pPr>
    </w:p>
    <w:p>
      <w:pPr>
        <w:pStyle w:val="5"/>
        <w:rPr>
          <w:sz w:val="24"/>
        </w:rPr>
      </w:pPr>
    </w:p>
    <w:p>
      <w:pPr>
        <w:tabs>
          <w:tab w:val="left" w:pos="7662"/>
          <w:tab w:val="left" w:pos="8442"/>
        </w:tabs>
        <w:spacing w:before="169"/>
        <w:ind w:left="6294"/>
        <w:rPr>
          <w:sz w:val="24"/>
        </w:rPr>
      </w:pPr>
      <w:r>
        <w:rPr>
          <w:rFonts w:ascii="Times New Roman" w:eastAsia="Times New Roman"/>
          <w:sz w:val="24"/>
        </w:rPr>
        <w:t>202</w:t>
      </w:r>
      <w:r>
        <w:rPr>
          <w:rFonts w:hint="eastAsia" w:ascii="Times New Roman"/>
          <w:sz w:val="24"/>
          <w:lang w:val="en-US" w:eastAsia="zh-CN"/>
        </w:rPr>
        <w:t>5</w:t>
      </w:r>
      <w:r>
        <w:rPr>
          <w:sz w:val="24"/>
        </w:rPr>
        <w:t>年</w:t>
      </w:r>
      <w:r>
        <w:rPr>
          <w:sz w:val="24"/>
        </w:rPr>
        <w:tab/>
      </w:r>
      <w:r>
        <w:rPr>
          <w:sz w:val="24"/>
        </w:rPr>
        <w:t>月</w:t>
      </w:r>
      <w:r>
        <w:rPr>
          <w:sz w:val="24"/>
        </w:rPr>
        <w:tab/>
      </w:r>
      <w:r>
        <w:rPr>
          <w:sz w:val="24"/>
        </w:rPr>
        <w:t>日</w:t>
      </w:r>
    </w:p>
    <w:p>
      <w:pPr>
        <w:rPr>
          <w:sz w:val="24"/>
        </w:rPr>
        <w:sectPr>
          <w:type w:val="continuous"/>
          <w:pgSz w:w="11910" w:h="16840"/>
          <w:pgMar w:top="1420" w:right="1000" w:bottom="280" w:left="1020" w:header="720" w:footer="720" w:gutter="0"/>
          <w:pgNumType w:fmt="decimal"/>
          <w:cols w:space="720" w:num="1"/>
        </w:sectPr>
      </w:pPr>
    </w:p>
    <w:p>
      <w:pPr>
        <w:pStyle w:val="5"/>
        <w:rPr>
          <w:sz w:val="20"/>
        </w:rPr>
      </w:pPr>
    </w:p>
    <w:p>
      <w:pPr>
        <w:pStyle w:val="5"/>
        <w:spacing w:before="3"/>
        <w:rPr>
          <w:sz w:val="22"/>
        </w:rPr>
      </w:pPr>
    </w:p>
    <w:p>
      <w:pPr>
        <w:pStyle w:val="3"/>
        <w:ind w:right="118"/>
        <w:jc w:val="center"/>
      </w:pPr>
      <w:r>
        <w:t>竞标单位回执</w:t>
      </w:r>
    </w:p>
    <w:p>
      <w:pPr>
        <w:pStyle w:val="5"/>
        <w:rPr>
          <w:rFonts w:ascii="黑体"/>
          <w:b/>
          <w:sz w:val="20"/>
        </w:rPr>
      </w:pPr>
    </w:p>
    <w:p>
      <w:pPr>
        <w:pStyle w:val="5"/>
        <w:rPr>
          <w:rFonts w:ascii="黑体"/>
          <w:b/>
          <w:sz w:val="20"/>
        </w:rPr>
      </w:pPr>
    </w:p>
    <w:p>
      <w:pPr>
        <w:spacing w:before="195"/>
        <w:ind w:left="112"/>
        <w:rPr>
          <w:rFonts w:ascii="黑体" w:eastAsia="黑体"/>
          <w:b/>
          <w:sz w:val="24"/>
        </w:rPr>
      </w:pPr>
      <w:r>
        <w:rPr>
          <w:b/>
          <w:sz w:val="24"/>
        </w:rPr>
        <w:t>芜湖安得智联科技有限公司</w:t>
      </w:r>
      <w:r>
        <w:rPr>
          <w:rFonts w:hint="eastAsia" w:ascii="黑体" w:eastAsia="黑体"/>
          <w:b/>
          <w:sz w:val="24"/>
        </w:rPr>
        <w:t>：</w:t>
      </w:r>
    </w:p>
    <w:p>
      <w:pPr>
        <w:pStyle w:val="5"/>
        <w:spacing w:before="9"/>
        <w:rPr>
          <w:rFonts w:ascii="黑体"/>
          <w:b/>
          <w:sz w:val="18"/>
        </w:rPr>
      </w:pPr>
    </w:p>
    <w:p>
      <w:pPr>
        <w:tabs>
          <w:tab w:val="left" w:pos="833"/>
        </w:tabs>
        <w:spacing w:before="2"/>
        <w:ind w:left="112"/>
        <w:rPr>
          <w:rFonts w:hint="eastAsia"/>
          <w:b/>
          <w:sz w:val="24"/>
        </w:rPr>
      </w:pPr>
      <w:r>
        <w:rPr>
          <w:sz w:val="24"/>
        </w:rPr>
        <w:t>我司同意参加贵公司组织的</w:t>
      </w:r>
      <w:r>
        <w:rPr>
          <w:rFonts w:hint="eastAsia"/>
          <w:b/>
          <w:sz w:val="24"/>
        </w:rPr>
        <w:t>芜湖安得智联福建分公司干线业务招标公告</w:t>
      </w:r>
    </w:p>
    <w:p>
      <w:pPr>
        <w:spacing w:line="424" w:lineRule="auto"/>
        <w:ind w:left="112" w:right="239" w:firstLine="631"/>
        <w:rPr>
          <w:sz w:val="24"/>
        </w:rPr>
      </w:pPr>
      <w:r>
        <w:rPr>
          <w:rFonts w:hint="eastAsia"/>
          <w:sz w:val="24"/>
        </w:rPr>
        <w:t>招标</w:t>
      </w:r>
      <w:r>
        <w:rPr>
          <w:sz w:val="24"/>
        </w:rPr>
        <w:t>，现特授权以下人员参加本次投标活动：</w:t>
      </w:r>
    </w:p>
    <w:tbl>
      <w:tblPr>
        <w:tblStyle w:val="9"/>
        <w:tblpPr w:leftFromText="180" w:rightFromText="180" w:vertAnchor="text" w:horzAnchor="page" w:tblpX="1505" w:tblpY="194"/>
        <w:tblOverlap w:val="never"/>
        <w:tblW w:w="91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5"/>
        <w:gridCol w:w="867"/>
        <w:gridCol w:w="3571"/>
        <w:gridCol w:w="1445"/>
        <w:gridCol w:w="1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1445" w:type="dxa"/>
            <w:tcBorders>
              <w:top w:val="single" w:color="auto" w:sz="4" w:space="0"/>
              <w:left w:val="single" w:color="auto" w:sz="4" w:space="0"/>
              <w:bottom w:val="single" w:color="auto" w:sz="4" w:space="0"/>
              <w:right w:val="single" w:color="auto" w:sz="4" w:space="0"/>
            </w:tcBorders>
            <w:shd w:val="clear" w:color="auto" w:fill="99CCFF"/>
          </w:tcPr>
          <w:p>
            <w:pPr>
              <w:pStyle w:val="13"/>
              <w:spacing w:before="124"/>
              <w:ind w:left="449"/>
              <w:rPr>
                <w:sz w:val="24"/>
              </w:rPr>
            </w:pPr>
            <w:r>
              <w:rPr>
                <w:sz w:val="24"/>
              </w:rPr>
              <w:t>姓 名</w:t>
            </w:r>
          </w:p>
        </w:tc>
        <w:tc>
          <w:tcPr>
            <w:tcW w:w="867" w:type="dxa"/>
            <w:tcBorders>
              <w:top w:val="single" w:color="auto" w:sz="4" w:space="0"/>
              <w:left w:val="single" w:color="auto" w:sz="4" w:space="0"/>
              <w:bottom w:val="single" w:color="auto" w:sz="4" w:space="0"/>
              <w:right w:val="single" w:color="auto" w:sz="4" w:space="0"/>
            </w:tcBorders>
            <w:shd w:val="clear" w:color="auto" w:fill="99CCFF"/>
          </w:tcPr>
          <w:p>
            <w:pPr>
              <w:pStyle w:val="13"/>
              <w:spacing w:before="124"/>
              <w:ind w:left="208"/>
              <w:rPr>
                <w:sz w:val="24"/>
              </w:rPr>
            </w:pPr>
            <w:r>
              <w:rPr>
                <w:sz w:val="24"/>
              </w:rPr>
              <w:t>性别</w:t>
            </w:r>
          </w:p>
        </w:tc>
        <w:tc>
          <w:tcPr>
            <w:tcW w:w="3571" w:type="dxa"/>
            <w:tcBorders>
              <w:top w:val="single" w:color="auto" w:sz="4" w:space="0"/>
              <w:left w:val="single" w:color="auto" w:sz="4" w:space="0"/>
              <w:bottom w:val="single" w:color="auto" w:sz="4" w:space="0"/>
              <w:right w:val="single" w:color="auto" w:sz="4" w:space="0"/>
            </w:tcBorders>
            <w:shd w:val="clear" w:color="auto" w:fill="99CCFF"/>
          </w:tcPr>
          <w:p>
            <w:pPr>
              <w:pStyle w:val="13"/>
              <w:spacing w:before="124"/>
              <w:ind w:left="1351" w:right="1341"/>
              <w:jc w:val="center"/>
              <w:rPr>
                <w:sz w:val="24"/>
              </w:rPr>
            </w:pPr>
            <w:r>
              <w:rPr>
                <w:sz w:val="24"/>
              </w:rPr>
              <w:t>身 份 证</w:t>
            </w:r>
          </w:p>
        </w:tc>
        <w:tc>
          <w:tcPr>
            <w:tcW w:w="1445" w:type="dxa"/>
            <w:tcBorders>
              <w:top w:val="single" w:color="auto" w:sz="4" w:space="0"/>
              <w:left w:val="single" w:color="auto" w:sz="4" w:space="0"/>
              <w:bottom w:val="single" w:color="auto" w:sz="4" w:space="0"/>
              <w:right w:val="single" w:color="auto" w:sz="4" w:space="0"/>
            </w:tcBorders>
            <w:shd w:val="clear" w:color="auto" w:fill="99CCFF"/>
          </w:tcPr>
          <w:p>
            <w:pPr>
              <w:pStyle w:val="13"/>
              <w:spacing w:before="124"/>
              <w:ind w:left="480"/>
              <w:rPr>
                <w:sz w:val="24"/>
              </w:rPr>
            </w:pPr>
            <w:r>
              <w:rPr>
                <w:sz w:val="24"/>
              </w:rPr>
              <w:t>职 务</w:t>
            </w:r>
          </w:p>
        </w:tc>
        <w:tc>
          <w:tcPr>
            <w:tcW w:w="1830" w:type="dxa"/>
            <w:tcBorders>
              <w:top w:val="single" w:color="auto" w:sz="4" w:space="0"/>
              <w:left w:val="single" w:color="auto" w:sz="4" w:space="0"/>
              <w:bottom w:val="single" w:color="auto" w:sz="4" w:space="0"/>
              <w:right w:val="single" w:color="auto" w:sz="4" w:space="0"/>
            </w:tcBorders>
            <w:shd w:val="clear" w:color="auto" w:fill="99CCFF"/>
          </w:tcPr>
          <w:p>
            <w:pPr>
              <w:pStyle w:val="13"/>
              <w:spacing w:before="124"/>
              <w:ind w:left="628" w:right="618"/>
              <w:jc w:val="center"/>
              <w:rPr>
                <w:sz w:val="24"/>
              </w:rPr>
            </w:pPr>
            <w:r>
              <w:rPr>
                <w:sz w:val="2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5" w:type="dxa"/>
            <w:tcBorders>
              <w:top w:val="single" w:color="auto" w:sz="4" w:space="0"/>
              <w:left w:val="single" w:color="auto" w:sz="4" w:space="0"/>
              <w:bottom w:val="single" w:color="auto" w:sz="4" w:space="0"/>
              <w:right w:val="single" w:color="auto" w:sz="4" w:space="0"/>
            </w:tcBorders>
          </w:tcPr>
          <w:p>
            <w:pPr>
              <w:pStyle w:val="13"/>
              <w:rPr>
                <w:rFonts w:ascii="Times New Roman"/>
              </w:rPr>
            </w:pPr>
          </w:p>
        </w:tc>
        <w:tc>
          <w:tcPr>
            <w:tcW w:w="867" w:type="dxa"/>
            <w:tcBorders>
              <w:top w:val="single" w:color="auto" w:sz="4" w:space="0"/>
              <w:left w:val="single" w:color="auto" w:sz="4" w:space="0"/>
              <w:bottom w:val="single" w:color="auto" w:sz="4" w:space="0"/>
              <w:right w:val="single" w:color="auto" w:sz="4" w:space="0"/>
            </w:tcBorders>
          </w:tcPr>
          <w:p>
            <w:pPr>
              <w:pStyle w:val="13"/>
              <w:rPr>
                <w:rFonts w:ascii="Times New Roman"/>
              </w:rPr>
            </w:pPr>
          </w:p>
        </w:tc>
        <w:tc>
          <w:tcPr>
            <w:tcW w:w="3571" w:type="dxa"/>
            <w:tcBorders>
              <w:top w:val="single" w:color="auto" w:sz="4" w:space="0"/>
              <w:left w:val="single" w:color="auto" w:sz="4" w:space="0"/>
              <w:bottom w:val="single" w:color="auto" w:sz="4" w:space="0"/>
              <w:right w:val="single" w:color="auto" w:sz="4" w:space="0"/>
            </w:tcBorders>
          </w:tcPr>
          <w:p>
            <w:pPr>
              <w:pStyle w:val="13"/>
              <w:rPr>
                <w:rFonts w:ascii="Times New Roman"/>
              </w:rPr>
            </w:pPr>
          </w:p>
        </w:tc>
        <w:tc>
          <w:tcPr>
            <w:tcW w:w="1445" w:type="dxa"/>
            <w:tcBorders>
              <w:top w:val="single" w:color="auto" w:sz="4" w:space="0"/>
              <w:left w:val="single" w:color="auto" w:sz="4" w:space="0"/>
              <w:bottom w:val="single" w:color="auto" w:sz="4" w:space="0"/>
              <w:right w:val="single" w:color="auto" w:sz="4" w:space="0"/>
            </w:tcBorders>
          </w:tcPr>
          <w:p>
            <w:pPr>
              <w:pStyle w:val="13"/>
              <w:rPr>
                <w:rFonts w:ascii="Times New Roman"/>
              </w:rPr>
            </w:pPr>
          </w:p>
        </w:tc>
        <w:tc>
          <w:tcPr>
            <w:tcW w:w="1830" w:type="dxa"/>
            <w:tcBorders>
              <w:top w:val="single" w:color="auto" w:sz="4" w:space="0"/>
              <w:left w:val="single" w:color="auto" w:sz="4" w:space="0"/>
              <w:bottom w:val="single" w:color="auto" w:sz="4" w:space="0"/>
              <w:right w:val="single" w:color="auto" w:sz="4"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5" w:type="dxa"/>
            <w:tcBorders>
              <w:top w:val="single" w:color="auto" w:sz="4" w:space="0"/>
              <w:left w:val="single" w:color="auto" w:sz="4" w:space="0"/>
              <w:bottom w:val="single" w:color="auto" w:sz="4" w:space="0"/>
              <w:right w:val="single" w:color="auto" w:sz="4" w:space="0"/>
            </w:tcBorders>
          </w:tcPr>
          <w:p>
            <w:pPr>
              <w:pStyle w:val="13"/>
              <w:rPr>
                <w:rFonts w:ascii="Times New Roman"/>
              </w:rPr>
            </w:pPr>
          </w:p>
        </w:tc>
        <w:tc>
          <w:tcPr>
            <w:tcW w:w="867" w:type="dxa"/>
            <w:tcBorders>
              <w:top w:val="single" w:color="auto" w:sz="4" w:space="0"/>
              <w:left w:val="single" w:color="auto" w:sz="4" w:space="0"/>
              <w:bottom w:val="single" w:color="auto" w:sz="4" w:space="0"/>
              <w:right w:val="single" w:color="auto" w:sz="4" w:space="0"/>
            </w:tcBorders>
          </w:tcPr>
          <w:p>
            <w:pPr>
              <w:pStyle w:val="13"/>
              <w:rPr>
                <w:rFonts w:ascii="Times New Roman"/>
              </w:rPr>
            </w:pPr>
          </w:p>
        </w:tc>
        <w:tc>
          <w:tcPr>
            <w:tcW w:w="3571" w:type="dxa"/>
            <w:tcBorders>
              <w:top w:val="single" w:color="auto" w:sz="4" w:space="0"/>
              <w:left w:val="single" w:color="auto" w:sz="4" w:space="0"/>
              <w:bottom w:val="single" w:color="auto" w:sz="4" w:space="0"/>
              <w:right w:val="single" w:color="auto" w:sz="4" w:space="0"/>
            </w:tcBorders>
          </w:tcPr>
          <w:p>
            <w:pPr>
              <w:pStyle w:val="13"/>
              <w:rPr>
                <w:rFonts w:ascii="Times New Roman"/>
              </w:rPr>
            </w:pPr>
          </w:p>
        </w:tc>
        <w:tc>
          <w:tcPr>
            <w:tcW w:w="1445" w:type="dxa"/>
            <w:tcBorders>
              <w:top w:val="single" w:color="auto" w:sz="4" w:space="0"/>
              <w:left w:val="single" w:color="auto" w:sz="4" w:space="0"/>
              <w:bottom w:val="single" w:color="auto" w:sz="4" w:space="0"/>
              <w:right w:val="single" w:color="auto" w:sz="4" w:space="0"/>
            </w:tcBorders>
          </w:tcPr>
          <w:p>
            <w:pPr>
              <w:pStyle w:val="13"/>
              <w:rPr>
                <w:rFonts w:ascii="Times New Roman"/>
              </w:rPr>
            </w:pPr>
          </w:p>
        </w:tc>
        <w:tc>
          <w:tcPr>
            <w:tcW w:w="1830" w:type="dxa"/>
            <w:tcBorders>
              <w:top w:val="single" w:color="auto" w:sz="4" w:space="0"/>
              <w:left w:val="single" w:color="auto" w:sz="4" w:space="0"/>
              <w:bottom w:val="single" w:color="auto" w:sz="4" w:space="0"/>
              <w:right w:val="single" w:color="auto" w:sz="4" w:space="0"/>
            </w:tcBorders>
          </w:tcPr>
          <w:p>
            <w:pPr>
              <w:pStyle w:val="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445" w:type="dxa"/>
            <w:tcBorders>
              <w:top w:val="single" w:color="auto" w:sz="4" w:space="0"/>
              <w:left w:val="single" w:color="auto" w:sz="4" w:space="0"/>
              <w:bottom w:val="single" w:color="auto" w:sz="4" w:space="0"/>
              <w:right w:val="single" w:color="auto" w:sz="4" w:space="0"/>
            </w:tcBorders>
          </w:tcPr>
          <w:p>
            <w:pPr>
              <w:pStyle w:val="13"/>
              <w:rPr>
                <w:rFonts w:ascii="Times New Roman"/>
              </w:rPr>
            </w:pPr>
          </w:p>
        </w:tc>
        <w:tc>
          <w:tcPr>
            <w:tcW w:w="867" w:type="dxa"/>
            <w:tcBorders>
              <w:top w:val="single" w:color="auto" w:sz="4" w:space="0"/>
              <w:left w:val="single" w:color="auto" w:sz="4" w:space="0"/>
              <w:bottom w:val="single" w:color="auto" w:sz="4" w:space="0"/>
              <w:right w:val="single" w:color="auto" w:sz="4" w:space="0"/>
            </w:tcBorders>
          </w:tcPr>
          <w:p>
            <w:pPr>
              <w:pStyle w:val="13"/>
              <w:rPr>
                <w:rFonts w:ascii="Times New Roman"/>
              </w:rPr>
            </w:pPr>
          </w:p>
        </w:tc>
        <w:tc>
          <w:tcPr>
            <w:tcW w:w="3571" w:type="dxa"/>
            <w:tcBorders>
              <w:top w:val="single" w:color="auto" w:sz="4" w:space="0"/>
              <w:left w:val="single" w:color="auto" w:sz="4" w:space="0"/>
              <w:bottom w:val="single" w:color="auto" w:sz="4" w:space="0"/>
              <w:right w:val="single" w:color="auto" w:sz="4" w:space="0"/>
            </w:tcBorders>
          </w:tcPr>
          <w:p>
            <w:pPr>
              <w:pStyle w:val="13"/>
              <w:rPr>
                <w:rFonts w:ascii="Times New Roman"/>
              </w:rPr>
            </w:pPr>
          </w:p>
        </w:tc>
        <w:tc>
          <w:tcPr>
            <w:tcW w:w="1445" w:type="dxa"/>
            <w:tcBorders>
              <w:top w:val="single" w:color="auto" w:sz="4" w:space="0"/>
              <w:left w:val="single" w:color="auto" w:sz="4" w:space="0"/>
              <w:bottom w:val="single" w:color="auto" w:sz="4" w:space="0"/>
              <w:right w:val="single" w:color="auto" w:sz="4" w:space="0"/>
            </w:tcBorders>
          </w:tcPr>
          <w:p>
            <w:pPr>
              <w:pStyle w:val="13"/>
              <w:rPr>
                <w:rFonts w:ascii="Times New Roman"/>
              </w:rPr>
            </w:pPr>
          </w:p>
        </w:tc>
        <w:tc>
          <w:tcPr>
            <w:tcW w:w="1830" w:type="dxa"/>
            <w:tcBorders>
              <w:top w:val="single" w:color="auto" w:sz="4" w:space="0"/>
              <w:left w:val="single" w:color="auto" w:sz="4" w:space="0"/>
              <w:bottom w:val="single" w:color="auto" w:sz="4" w:space="0"/>
              <w:right w:val="single" w:color="auto" w:sz="4" w:space="0"/>
            </w:tcBorders>
          </w:tcPr>
          <w:p>
            <w:pPr>
              <w:pStyle w:val="13"/>
              <w:rPr>
                <w:rFonts w:ascii="Times New Roman"/>
              </w:rPr>
            </w:pPr>
          </w:p>
        </w:tc>
      </w:tr>
    </w:tbl>
    <w:p>
      <w:pPr>
        <w:pStyle w:val="5"/>
        <w:spacing w:before="2"/>
        <w:rPr>
          <w:sz w:val="22"/>
        </w:rPr>
      </w:pPr>
    </w:p>
    <w:p>
      <w:pPr>
        <w:spacing w:before="1"/>
        <w:ind w:left="466"/>
        <w:rPr>
          <w:b/>
          <w:sz w:val="21"/>
        </w:rPr>
      </w:pPr>
    </w:p>
    <w:p>
      <w:pPr>
        <w:spacing w:before="1"/>
        <w:ind w:left="466"/>
        <w:rPr>
          <w:b/>
          <w:sz w:val="21"/>
        </w:rPr>
      </w:pPr>
      <w:r>
        <w:rPr>
          <w:b/>
          <w:sz w:val="21"/>
        </w:rPr>
        <w:t xml:space="preserve">注：竞标单位出席开标人原则上最多不超过 </w:t>
      </w:r>
      <w:r>
        <w:rPr>
          <w:rFonts w:ascii="Times New Roman" w:eastAsia="Times New Roman"/>
          <w:b/>
          <w:sz w:val="21"/>
        </w:rPr>
        <w:t xml:space="preserve">3 </w:t>
      </w:r>
      <w:r>
        <w:rPr>
          <w:b/>
          <w:sz w:val="21"/>
        </w:rPr>
        <w:t>人，超过限定人数需书面征得招标方同意方可参加。</w:t>
      </w:r>
    </w:p>
    <w:p>
      <w:pPr>
        <w:spacing w:before="121" w:line="424" w:lineRule="auto"/>
        <w:ind w:left="112" w:right="171" w:firstLine="480"/>
        <w:rPr>
          <w:sz w:val="24"/>
        </w:rPr>
      </w:pPr>
      <w:r>
        <w:rPr>
          <w:sz w:val="24"/>
        </w:rPr>
        <w:t>以上人员有权代表我公司参加标前会议、进行投标报价及参加开标会议等招标活动，其行为由本公司负责。</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spacing w:before="204"/>
        <w:ind w:left="99"/>
        <w:jc w:val="center"/>
        <w:rPr>
          <w:b/>
          <w:sz w:val="24"/>
        </w:rPr>
      </w:pPr>
      <w:r>
        <w:rPr>
          <w:b/>
          <w:w w:val="99"/>
          <w:sz w:val="24"/>
        </w:rPr>
        <w:t xml:space="preserve">             </w:t>
      </w:r>
      <w:r>
        <w:rPr>
          <w:b/>
          <w:sz w:val="24"/>
        </w:rPr>
        <w:t>投标单位名称：</w:t>
      </w:r>
      <w:r>
        <w:rPr>
          <w:b/>
          <w:w w:val="99"/>
          <w:sz w:val="24"/>
        </w:rPr>
        <w:t xml:space="preserve"> </w:t>
      </w:r>
    </w:p>
    <w:p>
      <w:pPr>
        <w:pStyle w:val="5"/>
        <w:spacing w:before="7"/>
        <w:rPr>
          <w:b/>
          <w:sz w:val="18"/>
        </w:rPr>
      </w:pPr>
    </w:p>
    <w:p>
      <w:pPr>
        <w:spacing w:before="1"/>
        <w:ind w:left="97"/>
        <w:jc w:val="center"/>
        <w:rPr>
          <w:sz w:val="24"/>
        </w:rPr>
      </w:pPr>
      <w:r>
        <w:rPr>
          <w:b/>
          <w:w w:val="99"/>
          <w:sz w:val="24"/>
        </w:rPr>
        <w:t xml:space="preserve">        </w:t>
      </w:r>
      <w:r>
        <w:rPr>
          <w:sz w:val="24"/>
        </w:rPr>
        <w:t xml:space="preserve">  （公章） </w:t>
      </w:r>
    </w:p>
    <w:p>
      <w:pPr>
        <w:pStyle w:val="5"/>
        <w:rPr>
          <w:sz w:val="20"/>
        </w:rPr>
      </w:pPr>
    </w:p>
    <w:p>
      <w:pPr>
        <w:pStyle w:val="5"/>
        <w:rPr>
          <w:sz w:val="20"/>
        </w:rPr>
      </w:pPr>
    </w:p>
    <w:p>
      <w:pPr>
        <w:pStyle w:val="5"/>
        <w:rPr>
          <w:sz w:val="16"/>
        </w:rPr>
      </w:pPr>
    </w:p>
    <w:p>
      <w:pPr>
        <w:spacing w:before="67"/>
        <w:ind w:left="97"/>
        <w:jc w:val="center"/>
        <w:rPr>
          <w:b/>
          <w:sz w:val="24"/>
        </w:rPr>
      </w:pPr>
      <w:r>
        <w:rPr>
          <w:sz w:val="24"/>
        </w:rPr>
        <w:t xml:space="preserve">              </w:t>
      </w:r>
      <w:r>
        <w:rPr>
          <w:b/>
          <w:w w:val="99"/>
          <w:sz w:val="24"/>
        </w:rPr>
        <w:t xml:space="preserve"> </w:t>
      </w:r>
      <w:r>
        <w:rPr>
          <w:b/>
          <w:sz w:val="24"/>
        </w:rPr>
        <w:t>法定代表人：</w:t>
      </w:r>
      <w:r>
        <w:rPr>
          <w:b/>
          <w:w w:val="99"/>
          <w:sz w:val="24"/>
        </w:rPr>
        <w:t xml:space="preserve"> </w:t>
      </w:r>
    </w:p>
    <w:p>
      <w:pPr>
        <w:pStyle w:val="5"/>
        <w:spacing w:before="9"/>
        <w:rPr>
          <w:b/>
          <w:sz w:val="18"/>
        </w:rPr>
      </w:pPr>
    </w:p>
    <w:p>
      <w:pPr>
        <w:ind w:left="112"/>
        <w:rPr>
          <w:sz w:val="24"/>
        </w:rPr>
      </w:pPr>
      <w:r>
        <w:rPr>
          <w:sz w:val="24"/>
        </w:rPr>
        <w:t xml:space="preserve">                                           （签字）              </w:t>
      </w:r>
    </w:p>
    <w:p>
      <w:pPr>
        <w:pStyle w:val="5"/>
        <w:spacing w:before="6"/>
        <w:rPr>
          <w:sz w:val="18"/>
        </w:rPr>
      </w:pPr>
    </w:p>
    <w:p>
      <w:pPr>
        <w:ind w:left="112"/>
        <w:jc w:val="right"/>
        <w:rPr>
          <w:sz w:val="24"/>
        </w:rPr>
      </w:pPr>
      <w:r>
        <w:rPr>
          <w:sz w:val="24"/>
        </w:rPr>
        <w:t xml:space="preserve">                                        </w:t>
      </w:r>
      <w:r>
        <w:rPr>
          <w:rFonts w:ascii="Times New Roman" w:eastAsia="Times New Roman"/>
          <w:sz w:val="24"/>
        </w:rPr>
        <w:t>202</w:t>
      </w:r>
      <w:r>
        <w:rPr>
          <w:rFonts w:hint="eastAsia" w:ascii="Times New Roman"/>
          <w:sz w:val="24"/>
          <w:lang w:val="en-US" w:eastAsia="zh-CN"/>
        </w:rPr>
        <w:t>5</w:t>
      </w:r>
      <w:r>
        <w:rPr>
          <w:rFonts w:ascii="Times New Roman" w:eastAsia="Times New Roman"/>
          <w:sz w:val="24"/>
        </w:rPr>
        <w:t xml:space="preserve"> </w:t>
      </w:r>
      <w:r>
        <w:rPr>
          <w:sz w:val="24"/>
        </w:rPr>
        <w:t xml:space="preserve">年 </w:t>
      </w:r>
      <w:r>
        <w:rPr>
          <w:rFonts w:hint="eastAsia"/>
          <w:sz w:val="24"/>
          <w:lang w:val="en-US"/>
        </w:rPr>
        <w:t xml:space="preserve">    </w:t>
      </w:r>
      <w:r>
        <w:rPr>
          <w:sz w:val="24"/>
        </w:rPr>
        <w:t xml:space="preserve">月 </w:t>
      </w:r>
      <w:r>
        <w:rPr>
          <w:rFonts w:hint="eastAsia"/>
          <w:sz w:val="24"/>
          <w:lang w:val="en-US"/>
        </w:rPr>
        <w:t xml:space="preserve">   </w:t>
      </w:r>
      <w:r>
        <w:rPr>
          <w:sz w:val="24"/>
        </w:rPr>
        <w:t xml:space="preserve">日 </w:t>
      </w:r>
    </w:p>
    <w:p>
      <w:pPr>
        <w:rPr>
          <w:sz w:val="24"/>
        </w:rPr>
        <w:sectPr>
          <w:pgSz w:w="11910" w:h="16840"/>
          <w:pgMar w:top="1420" w:right="1000" w:bottom="980" w:left="1020" w:header="851" w:footer="793" w:gutter="0"/>
          <w:pgNumType w:fmt="decimal"/>
          <w:cols w:space="720" w:num="1"/>
        </w:sectPr>
      </w:pPr>
    </w:p>
    <w:p>
      <w:pPr>
        <w:pStyle w:val="2"/>
        <w:spacing w:before="0"/>
        <w:ind w:left="0" w:right="0" w:firstLine="0"/>
        <w:jc w:val="center"/>
        <w:rPr>
          <w:sz w:val="36"/>
          <w:szCs w:val="36"/>
        </w:rPr>
      </w:pPr>
      <w:r>
        <w:rPr>
          <w:rFonts w:hint="eastAsia"/>
          <w:b/>
          <w:bCs/>
          <w:color w:val="000000"/>
          <w:sz w:val="36"/>
          <w:szCs w:val="24"/>
          <w:shd w:val="clear" w:color="auto" w:fill="FFFFFF"/>
          <w:lang w:bidi="ar"/>
        </w:rPr>
        <w:t>芜湖安得智联福建分公司干线业务招标公告</w:t>
      </w:r>
    </w:p>
    <w:p>
      <w:pPr>
        <w:pStyle w:val="4"/>
        <w:spacing w:line="308" w:lineRule="exact"/>
        <w:rPr>
          <w:rFonts w:ascii="黑体" w:eastAsia="黑体"/>
        </w:rPr>
      </w:pPr>
      <w:r>
        <w:rPr>
          <w:rFonts w:hint="eastAsia" w:ascii="黑体" w:eastAsia="黑体"/>
        </w:rPr>
        <w:t>一、 招标目的</w:t>
      </w:r>
    </w:p>
    <w:p>
      <w:pPr>
        <w:pStyle w:val="5"/>
        <w:spacing w:before="85" w:line="321" w:lineRule="auto"/>
        <w:ind w:left="112" w:right="132" w:firstLine="559"/>
        <w:jc w:val="both"/>
      </w:pPr>
      <w:r>
        <w:t xml:space="preserve">为进一步提高物流效率和营运质量，降低物流成本，建立公平竞争机制， </w:t>
      </w:r>
      <w:r>
        <w:rPr>
          <w:spacing w:val="-2"/>
        </w:rPr>
        <w:t>确保完成</w:t>
      </w:r>
      <w:r>
        <w:t>202</w:t>
      </w:r>
      <w:r>
        <w:rPr>
          <w:rFonts w:hint="eastAsia"/>
          <w:lang w:val="en-US" w:eastAsia="zh-CN"/>
        </w:rPr>
        <w:t>5</w:t>
      </w:r>
      <w:r>
        <w:rPr>
          <w:spacing w:val="-3"/>
        </w:rPr>
        <w:t xml:space="preserve">年度任务目标。本着“公开、公平、公正”的原则， 本公司决定采用公开招标的方式，选择确定一批运输服务供应商作为本公司合作单位。 </w:t>
      </w:r>
    </w:p>
    <w:p>
      <w:pPr>
        <w:pStyle w:val="4"/>
        <w:spacing w:line="356" w:lineRule="exact"/>
        <w:rPr>
          <w:rFonts w:ascii="黑体" w:eastAsia="黑体"/>
        </w:rPr>
      </w:pPr>
      <w:r>
        <w:rPr>
          <w:rFonts w:hint="eastAsia" w:ascii="黑体" w:eastAsia="黑体"/>
        </w:rPr>
        <w:t>二、 招标项目概况</w:t>
      </w:r>
    </w:p>
    <w:p>
      <w:pPr>
        <w:spacing w:before="122"/>
        <w:ind w:left="112" w:firstLine="556"/>
        <w:rPr>
          <w:b/>
          <w:w w:val="99"/>
          <w:sz w:val="28"/>
        </w:rPr>
      </w:pPr>
      <w:r>
        <w:rPr>
          <w:b/>
          <w:sz w:val="28"/>
        </w:rPr>
        <w:t>（一）项目介绍</w:t>
      </w:r>
      <w:r>
        <w:rPr>
          <w:b/>
          <w:w w:val="99"/>
          <w:sz w:val="28"/>
        </w:rPr>
        <w:t xml:space="preserve"> </w:t>
      </w:r>
    </w:p>
    <w:p>
      <w:pPr>
        <w:spacing w:before="122"/>
        <w:ind w:left="112" w:firstLine="556"/>
        <w:rPr>
          <w:b/>
          <w:w w:val="99"/>
          <w:sz w:val="28"/>
        </w:rPr>
      </w:pPr>
    </w:p>
    <w:p>
      <w:pPr>
        <w:pStyle w:val="8"/>
        <w:widowControl w:val="0"/>
        <w:spacing w:before="0" w:after="0" w:line="360" w:lineRule="auto"/>
        <w:ind w:firstLine="480"/>
        <w:rPr>
          <w:rFonts w:hint="eastAsia"/>
          <w:color w:val="000000"/>
          <w:szCs w:val="24"/>
          <w:lang w:val="en-US" w:eastAsia="zh-CN"/>
        </w:rPr>
      </w:pPr>
      <w:r>
        <w:rPr>
          <w:rFonts w:hint="eastAsia"/>
          <w:color w:val="000000"/>
          <w:szCs w:val="24"/>
          <w:lang w:val="en-US" w:eastAsia="zh-CN"/>
        </w:rPr>
        <w:t>1、产品：切片</w:t>
      </w:r>
    </w:p>
    <w:p>
      <w:pPr>
        <w:pStyle w:val="8"/>
        <w:widowControl w:val="0"/>
        <w:spacing w:before="0" w:after="0" w:line="360" w:lineRule="auto"/>
        <w:ind w:firstLine="480"/>
        <w:rPr>
          <w:rFonts w:hint="eastAsia"/>
          <w:color w:val="000000"/>
          <w:szCs w:val="24"/>
          <w:lang w:val="en-US" w:eastAsia="zh-CN"/>
        </w:rPr>
      </w:pPr>
      <w:r>
        <w:rPr>
          <w:rFonts w:hint="eastAsia"/>
          <w:color w:val="000000"/>
          <w:szCs w:val="24"/>
          <w:lang w:val="en-US" w:eastAsia="zh-CN"/>
        </w:rPr>
        <w:t>标段1：秀屿始发-广东省，预计规模600万</w:t>
      </w:r>
    </w:p>
    <w:p>
      <w:pPr>
        <w:pStyle w:val="8"/>
        <w:widowControl w:val="0"/>
        <w:spacing w:before="0" w:after="0" w:line="360" w:lineRule="auto"/>
        <w:ind w:firstLine="480"/>
        <w:rPr>
          <w:rFonts w:hint="eastAsia"/>
          <w:color w:val="000000"/>
          <w:szCs w:val="24"/>
          <w:lang w:val="en-US" w:eastAsia="zh-CN"/>
        </w:rPr>
      </w:pPr>
      <w:r>
        <w:rPr>
          <w:rFonts w:hint="eastAsia"/>
          <w:color w:val="000000"/>
          <w:szCs w:val="24"/>
          <w:lang w:val="en-US" w:eastAsia="zh-CN"/>
        </w:rPr>
        <w:t>标段2：秀屿始发-浙江省，预计规模360万</w:t>
      </w:r>
    </w:p>
    <w:p>
      <w:pPr>
        <w:pStyle w:val="8"/>
        <w:widowControl w:val="0"/>
        <w:spacing w:before="0" w:after="0" w:line="360" w:lineRule="auto"/>
        <w:ind w:firstLine="480"/>
        <w:rPr>
          <w:rFonts w:hint="eastAsia"/>
          <w:color w:val="000000"/>
          <w:szCs w:val="24"/>
          <w:lang w:val="en-US" w:eastAsia="zh-CN"/>
        </w:rPr>
      </w:pPr>
      <w:r>
        <w:rPr>
          <w:rFonts w:hint="eastAsia"/>
          <w:color w:val="000000"/>
          <w:szCs w:val="24"/>
          <w:lang w:val="en-US" w:eastAsia="zh-CN"/>
        </w:rPr>
        <w:t>标段3：秀屿始发-福建省，预计规模350万</w:t>
      </w:r>
    </w:p>
    <w:p>
      <w:pPr>
        <w:pStyle w:val="8"/>
        <w:widowControl w:val="0"/>
        <w:spacing w:before="0" w:after="0" w:line="360" w:lineRule="auto"/>
        <w:ind w:firstLine="480"/>
        <w:rPr>
          <w:rFonts w:hint="eastAsia"/>
          <w:color w:val="000000"/>
          <w:szCs w:val="24"/>
          <w:lang w:eastAsia="zh-CN"/>
        </w:rPr>
      </w:pPr>
      <w:r>
        <w:rPr>
          <w:rFonts w:hint="eastAsia"/>
          <w:color w:val="000000"/>
          <w:szCs w:val="24"/>
          <w:lang w:val="en-US" w:eastAsia="zh-CN"/>
        </w:rPr>
        <w:t>标段4：秀屿始发-安徽省、江苏省、江西省、上海市、山东省、湖北省、湖南省、河南省、天津市，预计规模300万</w:t>
      </w:r>
    </w:p>
    <w:p>
      <w:pPr>
        <w:pStyle w:val="4"/>
        <w:spacing w:line="353" w:lineRule="exact"/>
        <w:ind w:left="672"/>
        <w:rPr>
          <w:b w:val="0"/>
        </w:rPr>
      </w:pPr>
      <w:r>
        <w:rPr>
          <w:w w:val="95"/>
        </w:rPr>
        <w:t>（二）项目说明</w:t>
      </w:r>
      <w:r>
        <w:rPr>
          <w:b w:val="0"/>
        </w:rPr>
        <w:t xml:space="preserve"> </w:t>
      </w:r>
    </w:p>
    <w:p>
      <w:pPr>
        <w:pStyle w:val="5"/>
        <w:spacing w:before="198" w:line="321" w:lineRule="auto"/>
        <w:ind w:left="112" w:right="128" w:firstLine="559"/>
        <w:jc w:val="both"/>
      </w:pPr>
      <w:r>
        <w:rPr>
          <w:spacing w:val="8"/>
        </w:rPr>
        <w:t>1</w:t>
      </w:r>
      <w:r>
        <w:rPr>
          <w:spacing w:val="7"/>
        </w:rPr>
        <w:t>、本次招标文件提供的运量预测及年规模量，仅供投标单位制作投标文</w:t>
      </w:r>
      <w:r>
        <w:t>件的参考，不作为约定运量，不排除因销售差异导致线路运量发生较大变化。若实际运作过程中中标线路运量发生差异，招标方不承担任何责任。各投标人在进行成本测算时要考虑运量差异风险，客观估算实际发运成本，以免给自己</w:t>
      </w:r>
      <w:r>
        <w:rPr>
          <w:spacing w:val="-3"/>
        </w:rPr>
        <w:t xml:space="preserve">后期经营造成困难。 </w:t>
      </w:r>
    </w:p>
    <w:p>
      <w:pPr>
        <w:spacing w:line="321" w:lineRule="auto"/>
        <w:ind w:left="112" w:right="131" w:firstLine="559"/>
        <w:jc w:val="both"/>
        <w:rPr>
          <w:sz w:val="28"/>
        </w:rPr>
      </w:pPr>
      <w:r>
        <w:rPr>
          <w:sz w:val="28"/>
        </w:rPr>
        <w:t>2、</w:t>
      </w:r>
      <w:r>
        <w:rPr>
          <w:b/>
          <w:color w:val="FF0000"/>
          <w:sz w:val="28"/>
        </w:rPr>
        <w:t>本次招标各投标方所报价格统一按照开具货物运输业增值税专用发票(9%)进行报价</w:t>
      </w:r>
      <w:r>
        <w:rPr>
          <w:sz w:val="28"/>
        </w:rPr>
        <w:t xml:space="preserve">，各投标方需仔细核算发运成本，合理报价，公路运输保险由招标方购买。 </w:t>
      </w:r>
    </w:p>
    <w:p>
      <w:pPr>
        <w:pStyle w:val="5"/>
        <w:spacing w:line="321" w:lineRule="auto"/>
        <w:ind w:left="112" w:right="128" w:firstLine="559"/>
        <w:jc w:val="both"/>
      </w:pPr>
      <w:r>
        <w:t xml:space="preserve">3、公路运输保险由招标方统一购买，保险免赔额度全部由投标方承担， 具体免赔额度待保险条款确定后知会中标单位。如运输过程中发生事故，投标方允许招标方先从投标方未结算运费中扣除损失金额（不足额从履约保证金扣除），待保险公司赔付招标方并扣除免赔额度后给予返还。 </w:t>
      </w:r>
    </w:p>
    <w:p>
      <w:pPr>
        <w:pStyle w:val="5"/>
        <w:spacing w:before="106" w:line="321" w:lineRule="auto"/>
        <w:ind w:left="112" w:right="133"/>
      </w:pPr>
      <w:r>
        <w:t xml:space="preserve">4、对于运输途中非交通事故造成产品损坏被收货方拒收且受损产品有修复价值的，由投标方运回发运地委托招标方通过货主企业进行鉴定并核定修复费用，具体损失由投标方承担；对于运输途中交通事故造成产品损坏(免赔额以内由投标方承担赔偿责任的)或非交通事故受损产品无修复价值的，受损产品将以产品中心销售底价直接销售给投标方，投标方处理该部分产品时必须摘除产品铭牌及相关品牌标识（需在招标方监督下进行）。如后期发现投标方在处理该部分产品时扰乱产品市场秩序的，将追究投标方责任。 </w:t>
      </w:r>
    </w:p>
    <w:p>
      <w:pPr>
        <w:pStyle w:val="4"/>
        <w:spacing w:line="357" w:lineRule="exact"/>
        <w:rPr>
          <w:rFonts w:ascii="黑体" w:eastAsia="黑体"/>
        </w:rPr>
      </w:pPr>
      <w:r>
        <w:rPr>
          <w:rFonts w:hint="eastAsia" w:ascii="黑体" w:eastAsia="黑体"/>
        </w:rPr>
        <w:t>三、招标方式</w:t>
      </w:r>
    </w:p>
    <w:p>
      <w:pPr>
        <w:pStyle w:val="5"/>
        <w:spacing w:before="122" w:line="321" w:lineRule="auto"/>
        <w:ind w:left="112" w:right="142" w:firstLine="559"/>
      </w:pPr>
      <w:r>
        <w:t xml:space="preserve">1、本着“公开、公平、公正”的原则，本次运输招标采用公开招标形式。 </w:t>
      </w:r>
    </w:p>
    <w:p>
      <w:pPr>
        <w:pStyle w:val="5"/>
        <w:spacing w:line="321" w:lineRule="auto"/>
        <w:ind w:left="112" w:right="140" w:firstLine="559"/>
      </w:pPr>
      <w:r>
        <w:t xml:space="preserve">2、通过公开招标，每标的线路由招标单位分别选择一家投标单位作为最终中标单位。 </w:t>
      </w:r>
    </w:p>
    <w:p>
      <w:pPr>
        <w:pStyle w:val="5"/>
        <w:spacing w:line="321" w:lineRule="auto"/>
        <w:ind w:left="112" w:right="135" w:firstLine="559"/>
        <w:jc w:val="both"/>
      </w:pPr>
      <w:r>
        <w:t xml:space="preserve">3、为确保招标过程规范化、透明化，各投标人如对本次招标整个过程进行监督。如发现招标方未按评标流程进行评标的，投标人可向招标方稽查部门进行投诉: </w:t>
      </w:r>
    </w:p>
    <w:p>
      <w:pPr>
        <w:pStyle w:val="5"/>
        <w:spacing w:line="321" w:lineRule="auto"/>
        <w:ind w:left="624" w:right="130"/>
        <w:jc w:val="both"/>
      </w:pPr>
      <w:r>
        <w:rPr>
          <w:spacing w:val="45"/>
        </w:rPr>
        <w:t xml:space="preserve">美的集团总部廉正举报信箱及电话: </w:t>
      </w:r>
      <w:r>
        <w:fldChar w:fldCharType="begin"/>
      </w:r>
      <w:r>
        <w:instrText xml:space="preserve"> HYPERLINK "mailto:tousu@midea.com.cn" \h </w:instrText>
      </w:r>
      <w:r>
        <w:fldChar w:fldCharType="separate"/>
      </w:r>
      <w:r>
        <w:t>tousu@midea.com.cn</w:t>
      </w:r>
      <w:r>
        <w:fldChar w:fldCharType="end"/>
      </w:r>
      <w:r>
        <w:t xml:space="preserve"> 0757- 26605599</w:t>
      </w:r>
      <w:r>
        <w:rPr>
          <w:spacing w:val="135"/>
        </w:rPr>
        <w:t xml:space="preserve"> </w:t>
      </w:r>
      <w:r>
        <w:t xml:space="preserve">18988682933 </w:t>
      </w:r>
    </w:p>
    <w:p>
      <w:pPr>
        <w:pStyle w:val="4"/>
        <w:spacing w:line="357" w:lineRule="exact"/>
        <w:rPr>
          <w:rFonts w:ascii="黑体" w:eastAsia="黑体"/>
        </w:rPr>
      </w:pPr>
      <w:r>
        <w:rPr>
          <w:rFonts w:hint="eastAsia" w:ascii="黑体" w:eastAsia="黑体"/>
        </w:rPr>
        <w:t>四、 招标整体时间及地点</w:t>
      </w:r>
    </w:p>
    <w:p>
      <w:pPr>
        <w:pStyle w:val="5"/>
        <w:spacing w:before="117"/>
        <w:ind w:left="672"/>
      </w:pPr>
      <w:r>
        <w:t xml:space="preserve">(一)竞标报名 </w:t>
      </w:r>
    </w:p>
    <w:p>
      <w:pPr>
        <w:pStyle w:val="5"/>
        <w:spacing w:before="121" w:line="240" w:lineRule="auto"/>
        <w:ind w:left="672"/>
      </w:pPr>
      <w:r>
        <w:t xml:space="preserve">1、报名截止时间： </w:t>
      </w:r>
      <w:r>
        <w:rPr>
          <w:rFonts w:hint="eastAsia"/>
          <w:lang w:val="en-US"/>
        </w:rPr>
        <w:t>202</w:t>
      </w:r>
      <w:r>
        <w:rPr>
          <w:rFonts w:hint="eastAsia"/>
          <w:lang w:val="en-US" w:eastAsia="zh-CN"/>
        </w:rPr>
        <w:t>5</w:t>
      </w:r>
      <w:r>
        <w:rPr>
          <w:rFonts w:hint="eastAsia"/>
        </w:rPr>
        <w:t>年</w:t>
      </w:r>
      <w:r>
        <w:rPr>
          <w:rFonts w:hint="eastAsia"/>
          <w:lang w:val="en-US" w:eastAsia="zh-CN"/>
        </w:rPr>
        <w:t>1</w:t>
      </w:r>
      <w:r>
        <w:rPr>
          <w:rFonts w:hint="eastAsia"/>
        </w:rPr>
        <w:t>月</w:t>
      </w:r>
      <w:r>
        <w:rPr>
          <w:rFonts w:hint="eastAsia"/>
          <w:lang w:val="en-US" w:eastAsia="zh-CN"/>
        </w:rPr>
        <w:t>8</w:t>
      </w:r>
      <w:r>
        <w:rPr>
          <w:rFonts w:hint="eastAsia"/>
        </w:rPr>
        <w:t>日</w:t>
      </w:r>
      <w:r>
        <w:t>。</w:t>
      </w:r>
    </w:p>
    <w:p>
      <w:pPr>
        <w:pStyle w:val="5"/>
        <w:spacing w:before="121" w:line="240" w:lineRule="auto"/>
        <w:ind w:left="112" w:right="138" w:firstLine="559"/>
        <w:rPr>
          <w:rFonts w:hint="eastAsia" w:eastAsia="宋体"/>
          <w:lang w:eastAsia="zh-CN"/>
        </w:rPr>
      </w:pPr>
      <w:r>
        <w:t>2、标书购买地址：</w:t>
      </w:r>
      <w:r>
        <w:rPr>
          <w:rFonts w:hint="eastAsia"/>
        </w:rPr>
        <w:t>线上购买</w:t>
      </w:r>
      <w:r>
        <w:rPr>
          <w:rFonts w:hint="eastAsia"/>
          <w:lang w:eastAsia="zh-CN"/>
        </w:rPr>
        <w:t>（</w:t>
      </w:r>
      <w:r>
        <w:rPr>
          <w:rFonts w:hint="eastAsia"/>
          <w:lang w:val="en-US" w:eastAsia="zh-CN"/>
        </w:rPr>
        <w:t>每份售价200元，无论中标与否恕不退还</w:t>
      </w:r>
      <w:r>
        <w:rPr>
          <w:rFonts w:hint="eastAsia"/>
          <w:lang w:eastAsia="zh-CN"/>
        </w:rPr>
        <w:t>）</w:t>
      </w:r>
    </w:p>
    <w:p>
      <w:pPr>
        <w:pStyle w:val="5"/>
        <w:spacing w:before="121" w:line="360" w:lineRule="auto"/>
        <w:ind w:left="672"/>
        <w:rPr>
          <w:rFonts w:hint="default"/>
          <w:lang w:val="en-US" w:eastAsia="zh-CN"/>
        </w:rPr>
      </w:pPr>
      <w:r>
        <w:rPr>
          <w:rFonts w:hint="eastAsia"/>
          <w:lang w:val="en-US" w:eastAsia="zh-CN"/>
        </w:rPr>
        <w:t>3、标前会时间：2025年1月8日</w:t>
      </w:r>
      <w:r>
        <w:rPr>
          <w:rFonts w:hint="eastAsia"/>
          <w:lang w:val="en-US" w:eastAsia="zh-CN"/>
        </w:rPr>
        <w:br w:type="textWrapping"/>
      </w:r>
      <w:r>
        <w:rPr>
          <w:rFonts w:hint="eastAsia"/>
          <w:lang w:val="en-US" w:eastAsia="zh-CN"/>
        </w:rPr>
        <w:t>4、标前会地点：福建省晋江市陈埭镇滨江商务区10栋2401室</w:t>
      </w:r>
      <w:r>
        <w:rPr>
          <w:rFonts w:hint="eastAsia"/>
          <w:lang w:val="en-US" w:eastAsia="zh-CN"/>
        </w:rPr>
        <w:br w:type="textWrapping"/>
      </w:r>
      <w:r>
        <w:rPr>
          <w:rFonts w:hint="eastAsia"/>
          <w:lang w:val="en-US" w:eastAsia="zh-CN"/>
        </w:rPr>
        <w:t>5、正式招标时间：2025年1月10日</w:t>
      </w:r>
      <w:r>
        <w:rPr>
          <w:rFonts w:hint="eastAsia"/>
          <w:lang w:val="en-US" w:eastAsia="zh-CN"/>
        </w:rPr>
        <w:br w:type="textWrapping"/>
      </w:r>
      <w:r>
        <w:rPr>
          <w:rFonts w:hint="eastAsia"/>
          <w:lang w:val="en-US" w:eastAsia="zh-CN"/>
        </w:rPr>
        <w:t>6、正式招标地点：福建省晋江市陈埭镇滨江商务区10栋2401室</w:t>
      </w:r>
    </w:p>
    <w:p>
      <w:pPr>
        <w:spacing w:line="357" w:lineRule="exact"/>
        <w:ind w:left="112"/>
        <w:rPr>
          <w:rFonts w:ascii="黑体" w:eastAsia="黑体"/>
          <w:b/>
          <w:sz w:val="28"/>
        </w:rPr>
      </w:pPr>
      <w:r>
        <w:rPr>
          <w:rFonts w:hint="eastAsia" w:ascii="黑体" w:eastAsia="黑体"/>
          <w:b/>
          <w:w w:val="95"/>
          <w:sz w:val="28"/>
        </w:rPr>
        <w:t>五、投标人须知</w:t>
      </w:r>
    </w:p>
    <w:p>
      <w:pPr>
        <w:pStyle w:val="5"/>
        <w:spacing w:before="122" w:line="321" w:lineRule="auto"/>
        <w:ind w:left="112" w:right="136" w:firstLine="559"/>
      </w:pPr>
      <w:r>
        <w:rPr>
          <w:spacing w:val="8"/>
        </w:rPr>
        <w:t>1</w:t>
      </w:r>
      <w:r>
        <w:rPr>
          <w:spacing w:val="6"/>
        </w:rPr>
        <w:t>、投标人必须是具有公路运输营运资格的运输服务供应商或车队性质运</w:t>
      </w:r>
      <w:r>
        <w:rPr>
          <w:spacing w:val="-1"/>
        </w:rPr>
        <w:t xml:space="preserve">输服务供应商。 </w:t>
      </w:r>
    </w:p>
    <w:p>
      <w:pPr>
        <w:pStyle w:val="4"/>
        <w:spacing w:line="357" w:lineRule="exact"/>
        <w:ind w:left="674"/>
      </w:pPr>
      <w:r>
        <w:rPr>
          <w:color w:val="FF0000"/>
        </w:rPr>
        <w:t>2、投标人所开发票必须为货物运输业增值税专用发票（9%）。</w:t>
      </w:r>
      <w:r>
        <w:rPr>
          <w:color w:val="FF0000"/>
          <w:w w:val="99"/>
        </w:rPr>
        <w:t xml:space="preserve"> </w:t>
      </w:r>
    </w:p>
    <w:p>
      <w:pPr>
        <w:pStyle w:val="5"/>
        <w:spacing w:before="121" w:line="321" w:lineRule="auto"/>
        <w:ind w:left="112" w:right="390" w:firstLine="559"/>
      </w:pPr>
      <w:r>
        <w:t xml:space="preserve">3、投标人在评标前可将招标文件中需要答复或解答的问题书面提交招标单位，招标单位负责书面解答或澄清。 </w:t>
      </w:r>
    </w:p>
    <w:p>
      <w:pPr>
        <w:pStyle w:val="5"/>
        <w:spacing w:line="357" w:lineRule="exact"/>
        <w:ind w:right="135"/>
        <w:jc w:val="right"/>
      </w:pPr>
      <w:r>
        <w:rPr>
          <w:spacing w:val="18"/>
        </w:rPr>
        <w:t>4</w:t>
      </w:r>
      <w:r>
        <w:rPr>
          <w:spacing w:val="15"/>
        </w:rPr>
        <w:t>、投标人对任何问题的疏漏或判断失误，应自行负责。必须充分考虑</w:t>
      </w:r>
    </w:p>
    <w:p>
      <w:pPr>
        <w:pStyle w:val="5"/>
        <w:spacing w:before="106" w:line="321" w:lineRule="auto"/>
        <w:ind w:left="112" w:right="133"/>
        <w:jc w:val="both"/>
      </w:pPr>
      <w:r>
        <w:rPr>
          <w:spacing w:val="8"/>
        </w:rPr>
        <w:t>《道路交通安全法》与《公路安全保护条例》的实施以及燃油涨价、计重收</w:t>
      </w:r>
      <w:r>
        <w:t xml:space="preserve">费、超限控制等对货运市场的影响，并结合自身实力，慎重权衡投标价格。不得存在侥幸心理进行超越自身能力的低价投标或恶性投标，否则，将承担由此造成的一切后果。 </w:t>
      </w:r>
    </w:p>
    <w:p>
      <w:pPr>
        <w:pStyle w:val="5"/>
        <w:numPr>
          <w:ilvl w:val="0"/>
          <w:numId w:val="1"/>
        </w:numPr>
        <w:spacing w:line="321" w:lineRule="auto"/>
        <w:ind w:left="112" w:right="113" w:firstLine="559"/>
        <w:jc w:val="right"/>
      </w:pPr>
      <w:r>
        <w:t>投标人不得以改型车作为测算依据低价投标或恶意竞标，否则，将承担由此造成的一切后果。因使用改型车辆造成的一切异常由投标方自行处理。</w:t>
      </w:r>
    </w:p>
    <w:p>
      <w:pPr>
        <w:pStyle w:val="5"/>
        <w:spacing w:line="321" w:lineRule="auto"/>
        <w:ind w:left="671" w:right="113"/>
        <w:jc w:val="both"/>
      </w:pPr>
      <w:r>
        <w:t>6、投标人必须在 202</w:t>
      </w:r>
      <w:r>
        <w:rPr>
          <w:rFonts w:hint="eastAsia"/>
          <w:lang w:val="en-US" w:eastAsia="zh-CN"/>
        </w:rPr>
        <w:t>5</w:t>
      </w:r>
      <w:r>
        <w:t>年</w:t>
      </w:r>
      <w:r>
        <w:rPr>
          <w:rFonts w:hint="eastAsia"/>
          <w:lang w:val="en-US" w:eastAsia="zh-CN"/>
        </w:rPr>
        <w:t>1</w:t>
      </w:r>
      <w:r>
        <w:t>月</w:t>
      </w:r>
      <w:r>
        <w:rPr>
          <w:rFonts w:hint="eastAsia"/>
          <w:lang w:val="en-US" w:eastAsia="zh-CN"/>
        </w:rPr>
        <w:t>8</w:t>
      </w:r>
      <w:r>
        <w:t>日</w:t>
      </w:r>
      <w:r>
        <w:rPr>
          <w:rFonts w:hint="eastAsia"/>
          <w:lang w:val="en-US" w:eastAsia="zh-CN"/>
        </w:rPr>
        <w:t>下</w:t>
      </w:r>
      <w:r>
        <w:t xml:space="preserve">午 </w:t>
      </w:r>
      <w:r>
        <w:rPr>
          <w:rFonts w:hint="eastAsia"/>
          <w:lang w:val="en-US" w:eastAsia="zh-CN"/>
        </w:rPr>
        <w:t>17</w:t>
      </w:r>
      <w:r>
        <w:t xml:space="preserve"> 点前</w:t>
      </w:r>
      <w:r>
        <w:rPr>
          <w:rFonts w:hint="eastAsia"/>
        </w:rPr>
        <w:t>完成线上资料审核保证金得缴纳，应标文件上传，</w:t>
      </w:r>
      <w:r>
        <w:t xml:space="preserve">参加投标活动；投标人在投标过程中发生的一切费用，不论中标与否，均由投标人自行承担。 </w:t>
      </w:r>
    </w:p>
    <w:p>
      <w:pPr>
        <w:spacing w:line="364" w:lineRule="auto"/>
        <w:ind w:left="112" w:right="338" w:firstLine="559"/>
        <w:rPr>
          <w:rFonts w:hint="default" w:eastAsia="宋体"/>
          <w:sz w:val="28"/>
          <w:lang w:val="en-US" w:eastAsia="zh-CN"/>
        </w:rPr>
      </w:pPr>
      <w:r>
        <w:rPr>
          <w:sz w:val="28"/>
        </w:rPr>
        <w:t>7、中标人在招标现场与招标方签订预中标运输合同，运作保证金按中标规模的比率收取，</w:t>
      </w:r>
      <w:r>
        <w:rPr>
          <w:b/>
          <w:color w:val="FF0000"/>
          <w:sz w:val="28"/>
        </w:rPr>
        <w:t>业务根据实际线路规模收取（规模&lt;300</w:t>
      </w:r>
      <w:r>
        <w:rPr>
          <w:b/>
          <w:color w:val="FF0000"/>
          <w:spacing w:val="-25"/>
          <w:sz w:val="28"/>
        </w:rPr>
        <w:t xml:space="preserve"> 万，按照 </w:t>
      </w:r>
      <w:r>
        <w:rPr>
          <w:b/>
          <w:color w:val="FF0000"/>
          <w:sz w:val="28"/>
        </w:rPr>
        <w:t>3%收取;规模≥300</w:t>
      </w:r>
      <w:r>
        <w:rPr>
          <w:b/>
          <w:color w:val="FF0000"/>
          <w:spacing w:val="-25"/>
          <w:sz w:val="28"/>
        </w:rPr>
        <w:t xml:space="preserve"> 万，按照 </w:t>
      </w:r>
      <w:r>
        <w:rPr>
          <w:b/>
          <w:color w:val="FF0000"/>
          <w:sz w:val="28"/>
        </w:rPr>
        <w:t>5%收取）</w:t>
      </w:r>
      <w:r>
        <w:rPr>
          <w:spacing w:val="-1"/>
          <w:sz w:val="28"/>
        </w:rPr>
        <w:t>，在合同有效期</w:t>
      </w:r>
      <w:r>
        <w:rPr>
          <w:spacing w:val="-4"/>
          <w:sz w:val="28"/>
        </w:rPr>
        <w:t xml:space="preserve">内，招标单位将严格按照双方签订的运输合同对运输单位服务质量进行考核， </w:t>
      </w:r>
      <w:r>
        <w:rPr>
          <w:spacing w:val="-3"/>
          <w:sz w:val="28"/>
        </w:rPr>
        <w:t xml:space="preserve">对违反相关规定的行为将予以处罚。 </w:t>
      </w:r>
      <w:r>
        <w:rPr>
          <w:rFonts w:hint="eastAsia"/>
          <w:spacing w:val="-3"/>
          <w:sz w:val="28"/>
          <w:lang w:val="en-US" w:eastAsia="zh-CN"/>
        </w:rPr>
        <w:t>注：</w:t>
      </w:r>
      <w:r>
        <w:rPr>
          <w:rFonts w:hint="eastAsia"/>
          <w:color w:val="FF0000"/>
          <w:spacing w:val="-3"/>
          <w:sz w:val="28"/>
          <w:lang w:val="en-US" w:eastAsia="zh-CN"/>
        </w:rPr>
        <w:t>若后续运作产生规模超过投标预计规模，需按比例补缴合同押金</w:t>
      </w:r>
      <w:r>
        <w:rPr>
          <w:rFonts w:hint="eastAsia"/>
          <w:spacing w:val="-3"/>
          <w:sz w:val="28"/>
          <w:lang w:val="en-US" w:eastAsia="zh-CN"/>
        </w:rPr>
        <w:t>。</w:t>
      </w:r>
    </w:p>
    <w:p>
      <w:pPr>
        <w:pStyle w:val="4"/>
        <w:rPr>
          <w:rFonts w:ascii="黑体" w:eastAsia="黑体"/>
        </w:rPr>
      </w:pPr>
      <w:r>
        <w:rPr>
          <w:rFonts w:hint="eastAsia" w:ascii="黑体" w:eastAsia="黑体"/>
        </w:rPr>
        <w:t>六、投标文件及编制要求</w:t>
      </w:r>
    </w:p>
    <w:p>
      <w:pPr>
        <w:pStyle w:val="5"/>
        <w:spacing w:before="119"/>
        <w:ind w:left="672"/>
      </w:pPr>
      <w:r>
        <w:t xml:space="preserve">1、投标文件的组成（五份文件缺一无效） </w:t>
      </w:r>
    </w:p>
    <w:p>
      <w:pPr>
        <w:pStyle w:val="12"/>
        <w:numPr>
          <w:ilvl w:val="0"/>
          <w:numId w:val="2"/>
        </w:numPr>
        <w:tabs>
          <w:tab w:val="left" w:pos="1099"/>
          <w:tab w:val="clear" w:pos="840"/>
        </w:tabs>
        <w:spacing w:before="122"/>
        <w:rPr>
          <w:sz w:val="28"/>
        </w:rPr>
      </w:pPr>
      <w:r>
        <w:rPr>
          <w:spacing w:val="-2"/>
          <w:sz w:val="28"/>
        </w:rPr>
        <w:t>投标单位运输线路</w:t>
      </w:r>
      <w:r>
        <w:rPr>
          <w:b/>
          <w:color w:val="FF0000"/>
          <w:sz w:val="28"/>
        </w:rPr>
        <w:t>第一轮报价单</w:t>
      </w:r>
      <w:r>
        <w:rPr>
          <w:sz w:val="28"/>
        </w:rPr>
        <w:t>（</w:t>
      </w:r>
      <w:r>
        <w:rPr>
          <w:spacing w:val="-3"/>
          <w:sz w:val="28"/>
        </w:rPr>
        <w:t>加盖投标单位公章</w:t>
      </w:r>
      <w:r>
        <w:rPr>
          <w:sz w:val="28"/>
        </w:rPr>
        <w:t>）</w:t>
      </w:r>
      <w:r>
        <w:rPr>
          <w:spacing w:val="-3"/>
          <w:sz w:val="28"/>
        </w:rPr>
        <w:t>。</w:t>
      </w:r>
      <w:r>
        <w:rPr>
          <w:sz w:val="28"/>
        </w:rPr>
        <w:t xml:space="preserve"> </w:t>
      </w:r>
    </w:p>
    <w:p>
      <w:pPr>
        <w:pStyle w:val="12"/>
        <w:numPr>
          <w:ilvl w:val="0"/>
          <w:numId w:val="2"/>
        </w:numPr>
        <w:tabs>
          <w:tab w:val="left" w:pos="1099"/>
          <w:tab w:val="clear" w:pos="840"/>
        </w:tabs>
        <w:spacing w:before="121"/>
        <w:rPr>
          <w:sz w:val="28"/>
        </w:rPr>
      </w:pPr>
      <w:r>
        <w:rPr>
          <w:b/>
          <w:color w:val="FF0000"/>
          <w:sz w:val="28"/>
        </w:rPr>
        <w:t>投标承诺书</w:t>
      </w:r>
      <w:r>
        <w:rPr>
          <w:spacing w:val="-3"/>
          <w:sz w:val="28"/>
        </w:rPr>
        <w:t>（加盖投标单位公章</w:t>
      </w:r>
      <w:r>
        <w:rPr>
          <w:sz w:val="28"/>
        </w:rPr>
        <w:t xml:space="preserve">）。 </w:t>
      </w:r>
    </w:p>
    <w:p>
      <w:pPr>
        <w:pStyle w:val="12"/>
        <w:numPr>
          <w:ilvl w:val="0"/>
          <w:numId w:val="2"/>
        </w:numPr>
        <w:tabs>
          <w:tab w:val="left" w:pos="1119"/>
          <w:tab w:val="clear" w:pos="840"/>
        </w:tabs>
        <w:spacing w:before="121" w:line="321" w:lineRule="auto"/>
        <w:ind w:right="129"/>
        <w:rPr>
          <w:sz w:val="28"/>
        </w:rPr>
      </w:pPr>
      <w:r>
        <w:rPr>
          <w:b/>
          <w:color w:val="FF0000"/>
          <w:spacing w:val="7"/>
          <w:sz w:val="28"/>
        </w:rPr>
        <w:t>竞标单位回执</w:t>
      </w:r>
      <w:r>
        <w:rPr>
          <w:spacing w:val="7"/>
          <w:sz w:val="28"/>
        </w:rPr>
        <w:t>（</w:t>
      </w:r>
      <w:r>
        <w:rPr>
          <w:spacing w:val="4"/>
          <w:sz w:val="28"/>
        </w:rPr>
        <w:t>加盖投标单位公章且包括法人和被授权人身份证复印</w:t>
      </w:r>
      <w:r>
        <w:rPr>
          <w:sz w:val="28"/>
        </w:rPr>
        <w:t>件）</w:t>
      </w:r>
      <w:r>
        <w:rPr>
          <w:spacing w:val="-3"/>
          <w:sz w:val="28"/>
        </w:rPr>
        <w:t>。</w:t>
      </w:r>
      <w:r>
        <w:rPr>
          <w:sz w:val="28"/>
        </w:rPr>
        <w:t xml:space="preserve"> </w:t>
      </w:r>
    </w:p>
    <w:p>
      <w:pPr>
        <w:pStyle w:val="12"/>
        <w:numPr>
          <w:ilvl w:val="0"/>
          <w:numId w:val="2"/>
        </w:numPr>
        <w:tabs>
          <w:tab w:val="left" w:pos="1099"/>
          <w:tab w:val="clear" w:pos="840"/>
        </w:tabs>
        <w:spacing w:line="357" w:lineRule="exact"/>
        <w:rPr>
          <w:sz w:val="28"/>
        </w:rPr>
      </w:pPr>
      <w:r>
        <w:rPr>
          <w:b/>
          <w:color w:val="FF0000"/>
          <w:sz w:val="28"/>
        </w:rPr>
        <w:t>本标书文件、合同确认文件</w:t>
      </w:r>
      <w:r>
        <w:rPr>
          <w:sz w:val="28"/>
        </w:rPr>
        <w:t>（</w:t>
      </w:r>
      <w:r>
        <w:rPr>
          <w:spacing w:val="-3"/>
          <w:sz w:val="28"/>
        </w:rPr>
        <w:t>加盖投标单位公章、骑缝章）；</w:t>
      </w:r>
      <w:r>
        <w:rPr>
          <w:sz w:val="28"/>
        </w:rPr>
        <w:t xml:space="preserve"> </w:t>
      </w:r>
    </w:p>
    <w:p>
      <w:pPr>
        <w:pStyle w:val="12"/>
        <w:numPr>
          <w:ilvl w:val="0"/>
          <w:numId w:val="2"/>
        </w:numPr>
        <w:tabs>
          <w:tab w:val="left" w:pos="1105"/>
          <w:tab w:val="clear" w:pos="840"/>
        </w:tabs>
        <w:spacing w:before="121" w:line="321" w:lineRule="auto"/>
        <w:ind w:right="126"/>
        <w:rPr>
          <w:sz w:val="28"/>
        </w:rPr>
      </w:pPr>
      <w:r>
        <w:rPr>
          <w:b/>
          <w:color w:val="FF0000"/>
          <w:sz w:val="28"/>
        </w:rPr>
        <w:t>投标保证金汇款证明文件</w:t>
      </w:r>
      <w:r>
        <w:rPr>
          <w:sz w:val="28"/>
        </w:rPr>
        <w:t xml:space="preserve">（银行/电子回执单、未结运费转押金申请原件）。 </w:t>
      </w:r>
    </w:p>
    <w:p>
      <w:pPr>
        <w:spacing w:line="321" w:lineRule="auto"/>
        <w:ind w:left="672" w:right="4289" w:hanging="279"/>
        <w:rPr>
          <w:sz w:val="28"/>
        </w:rPr>
      </w:pPr>
      <w:r>
        <w:rPr>
          <w:b/>
          <w:sz w:val="28"/>
        </w:rPr>
        <w:t xml:space="preserve">备注：涉及资料必须在正式议价前提交。 </w:t>
      </w:r>
      <w:r>
        <w:rPr>
          <w:sz w:val="28"/>
        </w:rPr>
        <w:t>2</w:t>
      </w:r>
      <w:r>
        <w:rPr>
          <w:spacing w:val="-3"/>
          <w:sz w:val="28"/>
        </w:rPr>
        <w:t xml:space="preserve">、投标文件的编制 </w:t>
      </w:r>
    </w:p>
    <w:p>
      <w:pPr>
        <w:pStyle w:val="5"/>
        <w:spacing w:line="321" w:lineRule="auto"/>
        <w:ind w:left="112" w:right="136" w:firstLine="559"/>
      </w:pPr>
      <w:r>
        <w:t xml:space="preserve">投标人应详细阅读招标文件，按招标文件的要求编制投标文件。如果投标文件不符合要求，该投标文件将不予评审。 </w:t>
      </w:r>
    </w:p>
    <w:p>
      <w:pPr>
        <w:pStyle w:val="5"/>
        <w:spacing w:line="357" w:lineRule="exact"/>
        <w:ind w:left="672"/>
      </w:pPr>
      <w:r>
        <w:t xml:space="preserve">3、投标报价 </w:t>
      </w:r>
    </w:p>
    <w:p>
      <w:pPr>
        <w:pStyle w:val="5"/>
        <w:spacing w:before="106"/>
        <w:ind w:left="672"/>
      </w:pPr>
      <w:r>
        <w:t>投标报价中应包括税费及报价表要求报价的相关费用，保险费用不包括在内。</w:t>
      </w:r>
    </w:p>
    <w:p>
      <w:pPr>
        <w:pStyle w:val="5"/>
        <w:spacing w:before="106"/>
        <w:ind w:left="672"/>
      </w:pPr>
      <w:r>
        <w:t xml:space="preserve">4、投标保证金 </w:t>
      </w:r>
    </w:p>
    <w:p>
      <w:pPr>
        <w:pStyle w:val="4"/>
        <w:numPr>
          <w:ilvl w:val="0"/>
          <w:numId w:val="3"/>
        </w:numPr>
        <w:tabs>
          <w:tab w:val="left" w:pos="1099"/>
        </w:tabs>
        <w:spacing w:before="122"/>
        <w:jc w:val="both"/>
        <w:rPr>
          <w:b w:val="0"/>
        </w:rPr>
      </w:pPr>
      <w:r>
        <w:rPr>
          <w:color w:val="FF0000"/>
          <w:spacing w:val="-6"/>
        </w:rPr>
        <w:t xml:space="preserve">参与投标必须缴纳人民币 </w:t>
      </w:r>
      <w:r>
        <w:rPr>
          <w:rFonts w:hint="eastAsia"/>
          <w:color w:val="FF0000"/>
          <w:lang w:val="en-US"/>
        </w:rPr>
        <w:t>5</w:t>
      </w:r>
      <w:r>
        <w:rPr>
          <w:color w:val="FF0000"/>
        </w:rPr>
        <w:t>0000</w:t>
      </w:r>
      <w:r>
        <w:rPr>
          <w:color w:val="FF0000"/>
          <w:spacing w:val="-11"/>
        </w:rPr>
        <w:t xml:space="preserve"> 元的投标保证金</w:t>
      </w:r>
      <w:r>
        <w:rPr>
          <w:b w:val="0"/>
          <w:spacing w:val="-3"/>
        </w:rPr>
        <w:t>。</w:t>
      </w:r>
      <w:r>
        <w:rPr>
          <w:b w:val="0"/>
        </w:rPr>
        <w:t xml:space="preserve"> </w:t>
      </w:r>
    </w:p>
    <w:p>
      <w:pPr>
        <w:pStyle w:val="12"/>
        <w:numPr>
          <w:ilvl w:val="0"/>
          <w:numId w:val="3"/>
        </w:numPr>
        <w:tabs>
          <w:tab w:val="left" w:pos="1119"/>
        </w:tabs>
        <w:spacing w:before="121" w:line="321" w:lineRule="auto"/>
        <w:ind w:left="112" w:right="124" w:firstLine="281"/>
        <w:jc w:val="both"/>
        <w:rPr>
          <w:sz w:val="28"/>
        </w:rPr>
      </w:pPr>
      <w:r>
        <w:rPr>
          <w:spacing w:val="7"/>
          <w:sz w:val="28"/>
        </w:rPr>
        <w:t>投标保证金可以电汇方式或未结运费转押金的方式收取，各投标单位</w:t>
      </w:r>
      <w:r>
        <w:rPr>
          <w:sz w:val="28"/>
        </w:rPr>
        <w:t>必须在参加正式招标前完成电汇或系统操作，逾期未到帐的投标单位不得参与</w:t>
      </w:r>
      <w:r>
        <w:rPr>
          <w:spacing w:val="-3"/>
          <w:sz w:val="28"/>
        </w:rPr>
        <w:t xml:space="preserve">报价。汇款账号资料如下： </w:t>
      </w:r>
    </w:p>
    <w:p>
      <w:pPr>
        <w:pStyle w:val="5"/>
        <w:spacing w:line="357" w:lineRule="exact"/>
        <w:ind w:left="672"/>
      </w:pPr>
      <w:r>
        <w:t xml:space="preserve">开票资料： </w:t>
      </w:r>
    </w:p>
    <w:p>
      <w:pPr>
        <w:pStyle w:val="4"/>
        <w:spacing w:line="357" w:lineRule="exact"/>
        <w:ind w:left="674"/>
        <w:rPr>
          <w:b w:val="0"/>
          <w:bCs w:val="0"/>
        </w:rPr>
      </w:pPr>
      <w:r>
        <w:rPr>
          <w:rFonts w:hint="eastAsia"/>
          <w:b w:val="0"/>
          <w:bCs w:val="0"/>
        </w:rPr>
        <w:t>单位名称：</w:t>
      </w:r>
      <w:r>
        <w:rPr>
          <w:rFonts w:hint="eastAsia"/>
          <w:b w:val="0"/>
          <w:bCs w:val="0"/>
          <w:u w:val="single"/>
        </w:rPr>
        <w:t>芜湖安得智联科技有限公司</w:t>
      </w:r>
    </w:p>
    <w:p>
      <w:pPr>
        <w:pStyle w:val="4"/>
        <w:spacing w:line="357" w:lineRule="exact"/>
        <w:ind w:left="674"/>
        <w:rPr>
          <w:b w:val="0"/>
          <w:bCs w:val="0"/>
        </w:rPr>
      </w:pPr>
      <w:r>
        <w:rPr>
          <w:rFonts w:hint="eastAsia"/>
          <w:b w:val="0"/>
          <w:bCs w:val="0"/>
        </w:rPr>
        <w:t>纳税人识别号：</w:t>
      </w:r>
      <w:r>
        <w:rPr>
          <w:rFonts w:hint="eastAsia"/>
          <w:b w:val="0"/>
          <w:bCs w:val="0"/>
          <w:u w:val="single"/>
        </w:rPr>
        <w:t>913402005663629836</w:t>
      </w:r>
    </w:p>
    <w:p>
      <w:pPr>
        <w:pStyle w:val="4"/>
        <w:spacing w:line="357" w:lineRule="exact"/>
        <w:ind w:left="674"/>
        <w:rPr>
          <w:b w:val="0"/>
          <w:bCs w:val="0"/>
        </w:rPr>
      </w:pPr>
      <w:r>
        <w:rPr>
          <w:rFonts w:hint="eastAsia"/>
          <w:b w:val="0"/>
          <w:bCs w:val="0"/>
        </w:rPr>
        <w:t>地址：</w:t>
      </w:r>
      <w:r>
        <w:rPr>
          <w:rFonts w:hint="eastAsia"/>
          <w:b w:val="0"/>
          <w:bCs w:val="0"/>
          <w:u w:val="single"/>
        </w:rPr>
        <w:t>芜湖经济技术开发区清水河路99号</w:t>
      </w:r>
    </w:p>
    <w:p>
      <w:pPr>
        <w:pStyle w:val="4"/>
        <w:spacing w:line="357" w:lineRule="exact"/>
        <w:ind w:left="674"/>
        <w:rPr>
          <w:b w:val="0"/>
          <w:bCs w:val="0"/>
        </w:rPr>
      </w:pPr>
      <w:r>
        <w:rPr>
          <w:rFonts w:hint="eastAsia"/>
          <w:b w:val="0"/>
          <w:bCs w:val="0"/>
        </w:rPr>
        <w:t>电话号码：</w:t>
      </w:r>
      <w:r>
        <w:rPr>
          <w:rFonts w:hint="eastAsia"/>
          <w:b w:val="0"/>
          <w:bCs w:val="0"/>
          <w:u w:val="single"/>
        </w:rPr>
        <w:t>0553-5964438</w:t>
      </w:r>
    </w:p>
    <w:p>
      <w:pPr>
        <w:pStyle w:val="4"/>
        <w:spacing w:line="357" w:lineRule="exact"/>
        <w:ind w:left="674"/>
        <w:rPr>
          <w:b w:val="0"/>
          <w:bCs w:val="0"/>
        </w:rPr>
      </w:pPr>
      <w:r>
        <w:rPr>
          <w:rFonts w:hint="eastAsia"/>
          <w:b w:val="0"/>
          <w:bCs w:val="0"/>
        </w:rPr>
        <w:t>开户行：</w:t>
      </w:r>
      <w:r>
        <w:rPr>
          <w:rFonts w:hint="eastAsia"/>
          <w:b w:val="0"/>
          <w:bCs w:val="0"/>
          <w:u w:val="single"/>
        </w:rPr>
        <w:t>中国工商银行股份有限公司佛山北滘支行</w:t>
      </w:r>
    </w:p>
    <w:p>
      <w:pPr>
        <w:pStyle w:val="4"/>
        <w:spacing w:line="357" w:lineRule="exact"/>
        <w:ind w:left="674"/>
        <w:rPr>
          <w:b w:val="0"/>
          <w:bCs w:val="0"/>
        </w:rPr>
      </w:pPr>
      <w:r>
        <w:rPr>
          <w:rFonts w:hint="eastAsia"/>
          <w:b w:val="0"/>
          <w:bCs w:val="0"/>
        </w:rPr>
        <w:t>账号：</w:t>
      </w:r>
      <w:r>
        <w:rPr>
          <w:rFonts w:hint="eastAsia"/>
          <w:b w:val="0"/>
          <w:bCs w:val="0"/>
          <w:u w:val="single"/>
        </w:rPr>
        <w:t>2013013919201299673</w:t>
      </w:r>
    </w:p>
    <w:p>
      <w:pPr>
        <w:pStyle w:val="4"/>
        <w:spacing w:line="357" w:lineRule="exact"/>
        <w:ind w:left="674"/>
        <w:rPr>
          <w:b w:val="0"/>
          <w:bCs w:val="0"/>
        </w:rPr>
      </w:pPr>
      <w:r>
        <w:rPr>
          <w:rFonts w:hint="eastAsia"/>
          <w:b w:val="0"/>
          <w:bCs w:val="0"/>
        </w:rPr>
        <w:t>行号：</w:t>
      </w:r>
      <w:r>
        <w:rPr>
          <w:rFonts w:hint="eastAsia"/>
          <w:b w:val="0"/>
          <w:bCs w:val="0"/>
          <w:u w:val="single"/>
        </w:rPr>
        <w:t>102588001393</w:t>
      </w:r>
    </w:p>
    <w:p>
      <w:pPr>
        <w:pStyle w:val="4"/>
        <w:spacing w:line="357" w:lineRule="exact"/>
        <w:ind w:left="674"/>
      </w:pPr>
    </w:p>
    <w:p>
      <w:pPr>
        <w:pStyle w:val="12"/>
        <w:numPr>
          <w:ilvl w:val="0"/>
          <w:numId w:val="3"/>
        </w:numPr>
        <w:tabs>
          <w:tab w:val="left" w:pos="1099"/>
        </w:tabs>
        <w:spacing w:before="121"/>
        <w:rPr>
          <w:sz w:val="28"/>
        </w:rPr>
      </w:pPr>
      <w:r>
        <w:rPr>
          <w:spacing w:val="-3"/>
          <w:sz w:val="28"/>
        </w:rPr>
        <w:t xml:space="preserve">投标人如有下列行为，招标单位将没收其投标保证金： </w:t>
      </w:r>
    </w:p>
    <w:p>
      <w:pPr>
        <w:pStyle w:val="5"/>
        <w:spacing w:before="121"/>
        <w:ind w:left="672"/>
      </w:pPr>
      <w:r>
        <w:t>A</w:t>
      </w:r>
      <w:r>
        <w:rPr>
          <w:spacing w:val="-3"/>
        </w:rPr>
        <w:t xml:space="preserve">、投标人在投标文件截止期后，招标有效期内，撤回投标文件的。 </w:t>
      </w:r>
    </w:p>
    <w:p>
      <w:pPr>
        <w:pStyle w:val="5"/>
        <w:spacing w:before="122" w:line="321" w:lineRule="auto"/>
        <w:ind w:left="672" w:right="128"/>
      </w:pPr>
      <w:r>
        <w:t>B</w:t>
      </w:r>
      <w:r>
        <w:rPr>
          <w:spacing w:val="-3"/>
        </w:rPr>
        <w:t xml:space="preserve">、中标人在收到正式合同起一周内，未按规定交纳足额履约保证金的。  </w:t>
      </w:r>
      <w:r>
        <w:rPr>
          <w:spacing w:val="8"/>
        </w:rPr>
        <w:t>C</w:t>
      </w:r>
      <w:r>
        <w:rPr>
          <w:spacing w:val="7"/>
        </w:rPr>
        <w:t>、后轮次报价高于前轮或指定线路不报价的情形，后轮次报价改投其他</w:t>
      </w:r>
    </w:p>
    <w:p>
      <w:pPr>
        <w:pStyle w:val="5"/>
        <w:spacing w:line="357" w:lineRule="exact"/>
        <w:ind w:left="112"/>
      </w:pPr>
      <w:r>
        <w:t xml:space="preserve">线路的。 </w:t>
      </w:r>
    </w:p>
    <w:p>
      <w:pPr>
        <w:pStyle w:val="5"/>
        <w:spacing w:before="121" w:line="321" w:lineRule="auto"/>
        <w:ind w:left="672" w:right="1651"/>
      </w:pPr>
      <w:r>
        <w:t>D</w:t>
      </w:r>
      <w:r>
        <w:rPr>
          <w:spacing w:val="-3"/>
        </w:rPr>
        <w:t xml:space="preserve">、招标过程中存在围标、非法手段影响招标流程和结果的。 E、投标人各轮次报价均有效，当投标人否认其有效报价的。 </w:t>
      </w:r>
    </w:p>
    <w:p>
      <w:pPr>
        <w:pStyle w:val="12"/>
        <w:numPr>
          <w:ilvl w:val="0"/>
          <w:numId w:val="3"/>
        </w:numPr>
        <w:tabs>
          <w:tab w:val="left" w:pos="1099"/>
        </w:tabs>
        <w:spacing w:line="321" w:lineRule="auto"/>
        <w:ind w:left="112" w:right="131" w:firstLine="281"/>
        <w:jc w:val="both"/>
        <w:rPr>
          <w:sz w:val="28"/>
        </w:rPr>
      </w:pPr>
      <w:r>
        <w:rPr>
          <w:spacing w:val="-3"/>
          <w:sz w:val="28"/>
        </w:rPr>
        <w:t xml:space="preserve">未中标的投标人，投标保证金将在招标方招标结束后 </w:t>
      </w:r>
      <w:r>
        <w:rPr>
          <w:sz w:val="28"/>
        </w:rPr>
        <w:t>15</w:t>
      </w:r>
      <w:r>
        <w:rPr>
          <w:spacing w:val="-3"/>
          <w:sz w:val="28"/>
        </w:rPr>
        <w:t xml:space="preserve"> 个工作日内无</w:t>
      </w:r>
      <w:r>
        <w:rPr>
          <w:sz w:val="28"/>
        </w:rPr>
        <w:t>息退还；中标单位的投标保证金在签订运输合同协议后将由招标方直接转为履</w:t>
      </w:r>
      <w:r>
        <w:rPr>
          <w:spacing w:val="-3"/>
          <w:sz w:val="28"/>
        </w:rPr>
        <w:t xml:space="preserve">约保证金，不足部分在收到中标通知书 </w:t>
      </w:r>
      <w:r>
        <w:rPr>
          <w:sz w:val="28"/>
        </w:rPr>
        <w:t>7</w:t>
      </w:r>
      <w:r>
        <w:rPr>
          <w:spacing w:val="-3"/>
          <w:sz w:val="28"/>
        </w:rPr>
        <w:t xml:space="preserve"> 个工作日内由中标单位现金补缴，未</w:t>
      </w:r>
    </w:p>
    <w:p>
      <w:pPr>
        <w:pStyle w:val="5"/>
        <w:spacing w:line="357" w:lineRule="exact"/>
        <w:ind w:left="112"/>
        <w:jc w:val="both"/>
      </w:pPr>
      <w:r>
        <w:rPr>
          <w:spacing w:val="-6"/>
        </w:rPr>
        <w:t xml:space="preserve">按时补交则作为弃标处理；多余部分由招标方 </w:t>
      </w:r>
      <w:r>
        <w:t>15</w:t>
      </w:r>
      <w:r>
        <w:rPr>
          <w:spacing w:val="-9"/>
        </w:rPr>
        <w:t xml:space="preserve"> 个工作日内无息返还。 </w:t>
      </w:r>
    </w:p>
    <w:p>
      <w:pPr>
        <w:pStyle w:val="12"/>
        <w:numPr>
          <w:ilvl w:val="0"/>
          <w:numId w:val="3"/>
        </w:numPr>
        <w:tabs>
          <w:tab w:val="left" w:pos="1099"/>
        </w:tabs>
        <w:spacing w:before="120" w:line="321" w:lineRule="auto"/>
        <w:ind w:left="672" w:right="250" w:hanging="279"/>
        <w:rPr>
          <w:sz w:val="28"/>
        </w:rPr>
      </w:pPr>
      <w:r>
        <w:rPr>
          <w:spacing w:val="-3"/>
          <w:sz w:val="28"/>
        </w:rPr>
        <w:t xml:space="preserve">未提交投标保证金证明资料的投标文件，招标单位将不予参与评标。 5、投标文件的签署 </w:t>
      </w:r>
    </w:p>
    <w:p>
      <w:pPr>
        <w:pStyle w:val="12"/>
        <w:numPr>
          <w:ilvl w:val="0"/>
          <w:numId w:val="4"/>
        </w:numPr>
        <w:tabs>
          <w:tab w:val="left" w:pos="1119"/>
        </w:tabs>
        <w:spacing w:before="106" w:line="321" w:lineRule="auto"/>
        <w:ind w:right="124" w:firstLine="281"/>
        <w:rPr>
          <w:sz w:val="28"/>
        </w:rPr>
      </w:pPr>
      <w:r>
        <w:rPr>
          <w:spacing w:val="7"/>
          <w:sz w:val="28"/>
        </w:rPr>
        <w:t>投标人应提交投标承诺书和竞标单位回执原件（包括法人和被授权人</w:t>
      </w:r>
      <w:r>
        <w:rPr>
          <w:spacing w:val="12"/>
          <w:sz w:val="28"/>
        </w:rPr>
        <w:t>身份证复印件）</w:t>
      </w:r>
      <w:r>
        <w:rPr>
          <w:spacing w:val="9"/>
          <w:sz w:val="28"/>
        </w:rPr>
        <w:t>各一份，各轮次投标报价单原件</w:t>
      </w:r>
      <w:r>
        <w:rPr>
          <w:spacing w:val="12"/>
          <w:sz w:val="28"/>
        </w:rPr>
        <w:t>（</w:t>
      </w:r>
      <w:r>
        <w:rPr>
          <w:spacing w:val="8"/>
          <w:sz w:val="28"/>
        </w:rPr>
        <w:t>数量根据参与投标轮次而定）</w:t>
      </w:r>
      <w:r>
        <w:rPr>
          <w:spacing w:val="-3"/>
          <w:sz w:val="28"/>
        </w:rPr>
        <w:t>。相关原件均在评标现场统一集中收取。</w:t>
      </w:r>
      <w:r>
        <w:rPr>
          <w:spacing w:val="7"/>
          <w:sz w:val="28"/>
        </w:rPr>
        <w:t xml:space="preserve">投标文件必须由投标单位法人代表或其授权代理人（授权书附在内） </w:t>
      </w:r>
      <w:r>
        <w:rPr>
          <w:spacing w:val="-2"/>
          <w:sz w:val="28"/>
        </w:rPr>
        <w:t xml:space="preserve">签署并加盖公章。 </w:t>
      </w:r>
    </w:p>
    <w:p>
      <w:pPr>
        <w:pStyle w:val="12"/>
        <w:numPr>
          <w:ilvl w:val="0"/>
          <w:numId w:val="4"/>
        </w:numPr>
        <w:tabs>
          <w:tab w:val="left" w:pos="1119"/>
        </w:tabs>
        <w:spacing w:line="321" w:lineRule="auto"/>
        <w:ind w:right="124" w:firstLine="281"/>
        <w:rPr>
          <w:sz w:val="28"/>
        </w:rPr>
      </w:pPr>
      <w:r>
        <w:rPr>
          <w:spacing w:val="7"/>
          <w:sz w:val="28"/>
        </w:rPr>
        <w:t>投标人不得涂改、行间插页和删除，如有上述情况，均由投标文件签</w:t>
      </w:r>
      <w:r>
        <w:rPr>
          <w:spacing w:val="-3"/>
          <w:sz w:val="28"/>
        </w:rPr>
        <w:t xml:space="preserve">署人在改动处签字盖章。 </w:t>
      </w:r>
    </w:p>
    <w:p>
      <w:pPr>
        <w:pStyle w:val="5"/>
        <w:spacing w:line="357" w:lineRule="exact"/>
        <w:ind w:left="672"/>
      </w:pPr>
      <w:r>
        <w:t xml:space="preserve">6、投标纪律 </w:t>
      </w:r>
    </w:p>
    <w:p>
      <w:pPr>
        <w:pStyle w:val="12"/>
        <w:numPr>
          <w:ilvl w:val="0"/>
          <w:numId w:val="5"/>
        </w:numPr>
        <w:tabs>
          <w:tab w:val="left" w:pos="1119"/>
        </w:tabs>
        <w:spacing w:before="120" w:line="321" w:lineRule="auto"/>
        <w:ind w:right="126" w:firstLine="281"/>
        <w:jc w:val="both"/>
        <w:rPr>
          <w:sz w:val="28"/>
        </w:rPr>
      </w:pPr>
      <w:r>
        <w:rPr>
          <w:spacing w:val="6"/>
          <w:sz w:val="28"/>
        </w:rPr>
        <w:t>各投标人提交的关于资质、业绩等的文件和材料必须真实准确，不得</w:t>
      </w:r>
      <w:r>
        <w:rPr>
          <w:sz w:val="28"/>
        </w:rPr>
        <w:t>弄虚作假。招标方将对资质说明材料进行核实，一旦查实有虚假的行为，将取</w:t>
      </w:r>
      <w:r>
        <w:rPr>
          <w:spacing w:val="-3"/>
          <w:sz w:val="28"/>
        </w:rPr>
        <w:t xml:space="preserve">消投标人投标资格。 </w:t>
      </w:r>
    </w:p>
    <w:p>
      <w:pPr>
        <w:pStyle w:val="12"/>
        <w:numPr>
          <w:ilvl w:val="0"/>
          <w:numId w:val="5"/>
        </w:numPr>
        <w:tabs>
          <w:tab w:val="left" w:pos="1119"/>
        </w:tabs>
        <w:spacing w:line="321" w:lineRule="auto"/>
        <w:ind w:right="131" w:firstLine="281"/>
        <w:rPr>
          <w:sz w:val="28"/>
        </w:rPr>
      </w:pPr>
      <w:r>
        <w:rPr>
          <w:spacing w:val="6"/>
          <w:sz w:val="28"/>
        </w:rPr>
        <w:t xml:space="preserve">投标人应自主编制投标文件，不得串通作弊，致使评选困难或无法评定。 </w:t>
      </w:r>
    </w:p>
    <w:p>
      <w:pPr>
        <w:pStyle w:val="12"/>
        <w:numPr>
          <w:ilvl w:val="0"/>
          <w:numId w:val="5"/>
        </w:numPr>
        <w:tabs>
          <w:tab w:val="left" w:pos="1119"/>
        </w:tabs>
        <w:spacing w:line="321" w:lineRule="auto"/>
        <w:ind w:right="124" w:firstLine="281"/>
        <w:rPr>
          <w:sz w:val="28"/>
        </w:rPr>
      </w:pPr>
      <w:r>
        <w:rPr>
          <w:spacing w:val="7"/>
          <w:sz w:val="28"/>
        </w:rPr>
        <w:t>投标人不得采用不正当手段妨碍、排挤其他服务供应商，扰乱投标工</w:t>
      </w:r>
      <w:r>
        <w:rPr>
          <w:spacing w:val="-3"/>
          <w:sz w:val="28"/>
        </w:rPr>
        <w:t xml:space="preserve">作，破坏公平竞争。 </w:t>
      </w:r>
    </w:p>
    <w:p>
      <w:pPr>
        <w:pStyle w:val="12"/>
        <w:numPr>
          <w:ilvl w:val="0"/>
          <w:numId w:val="5"/>
        </w:numPr>
        <w:tabs>
          <w:tab w:val="left" w:pos="1119"/>
        </w:tabs>
        <w:spacing w:line="321" w:lineRule="auto"/>
        <w:ind w:right="124" w:firstLine="281"/>
        <w:rPr>
          <w:sz w:val="28"/>
        </w:rPr>
      </w:pPr>
      <w:r>
        <w:rPr>
          <w:spacing w:val="7"/>
          <w:sz w:val="28"/>
        </w:rPr>
        <w:t>投标文件截止期后，投标文件不得更改，需作澄清时，须经书面提出</w:t>
      </w:r>
      <w:r>
        <w:rPr>
          <w:spacing w:val="-3"/>
          <w:sz w:val="28"/>
        </w:rPr>
        <w:t xml:space="preserve">并经签署人签字，但不得对投标内容进行实质性修改。 </w:t>
      </w:r>
    </w:p>
    <w:p>
      <w:pPr>
        <w:pStyle w:val="5"/>
        <w:spacing w:line="357" w:lineRule="exact"/>
        <w:ind w:left="672"/>
      </w:pPr>
      <w:r>
        <w:t xml:space="preserve">7、有下列情况之一者，将作为废标处理： </w:t>
      </w:r>
    </w:p>
    <w:p>
      <w:pPr>
        <w:pStyle w:val="12"/>
        <w:numPr>
          <w:ilvl w:val="0"/>
          <w:numId w:val="6"/>
        </w:numPr>
        <w:tabs>
          <w:tab w:val="left" w:pos="1099"/>
        </w:tabs>
        <w:spacing w:before="117"/>
        <w:rPr>
          <w:sz w:val="28"/>
        </w:rPr>
      </w:pPr>
      <w:r>
        <w:rPr>
          <w:spacing w:val="-2"/>
          <w:sz w:val="28"/>
        </w:rPr>
        <w:t xml:space="preserve">逾期送达投标书的。 </w:t>
      </w:r>
    </w:p>
    <w:p>
      <w:pPr>
        <w:pStyle w:val="12"/>
        <w:numPr>
          <w:ilvl w:val="0"/>
          <w:numId w:val="6"/>
        </w:numPr>
        <w:tabs>
          <w:tab w:val="left" w:pos="1148"/>
        </w:tabs>
        <w:spacing w:before="122" w:line="321" w:lineRule="auto"/>
        <w:ind w:left="112" w:right="137" w:firstLine="281"/>
        <w:rPr>
          <w:sz w:val="28"/>
        </w:rPr>
      </w:pPr>
      <w:r>
        <w:rPr>
          <w:spacing w:val="13"/>
          <w:sz w:val="28"/>
        </w:rPr>
        <w:t xml:space="preserve">投标人未提交保证金或金额不足或投标保证金不符合招标文件的要求。 </w:t>
      </w:r>
    </w:p>
    <w:p>
      <w:pPr>
        <w:pStyle w:val="12"/>
        <w:numPr>
          <w:ilvl w:val="0"/>
          <w:numId w:val="6"/>
        </w:numPr>
        <w:tabs>
          <w:tab w:val="left" w:pos="1099"/>
        </w:tabs>
        <w:spacing w:line="357" w:lineRule="exact"/>
        <w:rPr>
          <w:sz w:val="28"/>
        </w:rPr>
      </w:pPr>
      <w:r>
        <w:rPr>
          <w:spacing w:val="-3"/>
          <w:sz w:val="28"/>
        </w:rPr>
        <w:t xml:space="preserve">投标书未加盖公章、未经法定代表人或授权代表签字的。 </w:t>
      </w:r>
    </w:p>
    <w:p>
      <w:pPr>
        <w:pStyle w:val="12"/>
        <w:numPr>
          <w:ilvl w:val="0"/>
          <w:numId w:val="6"/>
        </w:numPr>
        <w:tabs>
          <w:tab w:val="left" w:pos="1099"/>
        </w:tabs>
        <w:spacing w:before="121"/>
        <w:rPr>
          <w:sz w:val="28"/>
        </w:rPr>
      </w:pPr>
      <w:r>
        <w:rPr>
          <w:spacing w:val="-3"/>
          <w:sz w:val="28"/>
        </w:rPr>
        <w:t xml:space="preserve">投标人的法定代表人或委托代理人未参加开标会议的。 </w:t>
      </w:r>
    </w:p>
    <w:p>
      <w:pPr>
        <w:pStyle w:val="12"/>
        <w:numPr>
          <w:ilvl w:val="0"/>
          <w:numId w:val="6"/>
        </w:numPr>
        <w:tabs>
          <w:tab w:val="left" w:pos="1099"/>
        </w:tabs>
        <w:spacing w:before="121"/>
        <w:rPr>
          <w:sz w:val="28"/>
        </w:rPr>
      </w:pPr>
      <w:r>
        <w:rPr>
          <w:spacing w:val="-3"/>
          <w:sz w:val="28"/>
        </w:rPr>
        <w:t xml:space="preserve">投标书未按招标文件规定的格式和内容制作的。 </w:t>
      </w:r>
    </w:p>
    <w:p>
      <w:pPr>
        <w:pStyle w:val="4"/>
        <w:spacing w:before="121"/>
        <w:rPr>
          <w:rFonts w:ascii="黑体" w:eastAsia="黑体"/>
        </w:rPr>
      </w:pPr>
    </w:p>
    <w:p>
      <w:pPr>
        <w:pStyle w:val="4"/>
        <w:spacing w:before="121"/>
        <w:rPr>
          <w:rFonts w:ascii="黑体" w:eastAsia="黑体"/>
        </w:rPr>
      </w:pPr>
      <w:r>
        <w:rPr>
          <w:rFonts w:hint="eastAsia" w:ascii="黑体" w:eastAsia="黑体"/>
        </w:rPr>
        <w:t>七、评标程序及要求</w:t>
      </w:r>
    </w:p>
    <w:p>
      <w:pPr>
        <w:spacing w:before="122" w:line="321" w:lineRule="auto"/>
        <w:ind w:left="112" w:right="133" w:firstLine="420"/>
        <w:jc w:val="both"/>
        <w:rPr>
          <w:sz w:val="28"/>
        </w:rPr>
      </w:pPr>
      <w:r>
        <w:rPr>
          <w:sz w:val="28"/>
        </w:rPr>
        <w:t xml:space="preserve">本次招标将采用 </w:t>
      </w:r>
      <w:r>
        <w:rPr>
          <w:rFonts w:hint="eastAsia"/>
          <w:sz w:val="28"/>
          <w:lang w:val="en-US"/>
        </w:rPr>
        <w:t>3</w:t>
      </w:r>
      <w:r>
        <w:rPr>
          <w:sz w:val="28"/>
        </w:rPr>
        <w:t xml:space="preserve"> 轮报价和议价的方式进行，以业务线路为单位，评标过程中只对线路综合成本价进行评标，各投标单位应仔细阅读评标方式的操作细则。</w:t>
      </w:r>
      <w:r>
        <w:rPr>
          <w:b/>
          <w:color w:val="FF0000"/>
          <w:sz w:val="28"/>
        </w:rPr>
        <w:t>供应商必须现场携带公章及笔记本电脑进行系统操作</w:t>
      </w:r>
      <w:r>
        <w:rPr>
          <w:sz w:val="28"/>
        </w:rPr>
        <w:t xml:space="preserve">。 </w:t>
      </w:r>
    </w:p>
    <w:p>
      <w:pPr>
        <w:pStyle w:val="5"/>
        <w:spacing w:line="357" w:lineRule="exact"/>
        <w:ind w:left="533"/>
      </w:pPr>
      <w:r>
        <w:t xml:space="preserve">具体评标流程如下： </w:t>
      </w:r>
    </w:p>
    <w:p>
      <w:pPr>
        <w:spacing w:before="220" w:line="321" w:lineRule="auto"/>
        <w:ind w:left="112" w:right="133" w:firstLine="559"/>
        <w:rPr>
          <w:sz w:val="28"/>
        </w:rPr>
      </w:pPr>
      <w:r>
        <w:rPr>
          <w:sz w:val="28"/>
        </w:rPr>
        <w:t>1、报价：投标人在议价开始前，完成第一轮报价提交，提交方式采用电子表格的形式提交给招标方，</w:t>
      </w:r>
      <w:r>
        <w:rPr>
          <w:b/>
          <w:color w:val="FF0000"/>
          <w:sz w:val="28"/>
        </w:rPr>
        <w:t>每一个标段内所有业务线路均需报价</w:t>
      </w:r>
      <w:r>
        <w:rPr>
          <w:sz w:val="28"/>
        </w:rPr>
        <w:t xml:space="preserve">。 </w:t>
      </w:r>
    </w:p>
    <w:p>
      <w:pPr>
        <w:pStyle w:val="5"/>
        <w:spacing w:before="99"/>
        <w:ind w:left="672"/>
        <w:sectPr>
          <w:pgSz w:w="11910" w:h="16840"/>
          <w:pgMar w:top="1420" w:right="1000" w:bottom="980" w:left="1020" w:header="851" w:footer="793" w:gutter="0"/>
          <w:pgNumType w:fmt="decimal"/>
          <w:cols w:space="720" w:num="1"/>
        </w:sectPr>
      </w:pPr>
      <w:r>
        <w:t>2、议价：参与议价供应商进行第一轮次报价后，公布最低价，招标方视</w:t>
      </w:r>
    </w:p>
    <w:p>
      <w:pPr>
        <w:pStyle w:val="5"/>
        <w:spacing w:before="106" w:line="321" w:lineRule="auto"/>
        <w:ind w:right="131"/>
        <w:jc w:val="both"/>
      </w:pPr>
      <w:r>
        <w:rPr>
          <w:spacing w:val="-3"/>
        </w:rPr>
        <w:t xml:space="preserve">情况确定是否淘汰最后一名；然后进入议价环节，通过 </w:t>
      </w:r>
      <w:r>
        <w:rPr>
          <w:rFonts w:hint="eastAsia"/>
          <w:lang w:val="en-US"/>
        </w:rPr>
        <w:t>3</w:t>
      </w:r>
      <w:r>
        <w:rPr>
          <w:spacing w:val="-2"/>
        </w:rPr>
        <w:t>轮次</w:t>
      </w:r>
      <w:r>
        <w:rPr>
          <w:rFonts w:hint="eastAsia"/>
          <w:spacing w:val="-2"/>
          <w:lang w:val="en-US" w:eastAsia="zh-CN"/>
        </w:rPr>
        <w:t>报价</w:t>
      </w:r>
      <w:r>
        <w:rPr>
          <w:spacing w:val="-2"/>
        </w:rPr>
        <w:t>，</w:t>
      </w:r>
      <w:r>
        <w:rPr>
          <w:rFonts w:hint="eastAsia"/>
          <w:spacing w:val="-2"/>
          <w:lang w:val="en-US" w:eastAsia="zh-CN"/>
        </w:rPr>
        <w:t>1次议价</w:t>
      </w:r>
      <w:r>
        <w:rPr>
          <w:spacing w:val="-2"/>
        </w:rPr>
        <w:t>最终完成此线路的定标，定标后，中标供应商现场进行我司系统录入</w:t>
      </w:r>
    </w:p>
    <w:p>
      <w:pPr>
        <w:pStyle w:val="5"/>
        <w:spacing w:before="97"/>
        <w:ind w:left="672"/>
      </w:pPr>
      <w:r>
        <w:t xml:space="preserve">3、老供应商在综合报价相同的情况下享有跟标权。 </w:t>
      </w:r>
    </w:p>
    <w:p>
      <w:pPr>
        <w:pStyle w:val="4"/>
        <w:spacing w:line="357" w:lineRule="exact"/>
        <w:rPr>
          <w:rFonts w:ascii="黑体" w:eastAsia="黑体"/>
        </w:rPr>
      </w:pPr>
      <w:r>
        <w:rPr>
          <w:rFonts w:hint="eastAsia" w:ascii="黑体" w:eastAsia="黑体"/>
        </w:rPr>
        <w:t>八、中标和合同协议签订</w:t>
      </w:r>
    </w:p>
    <w:p>
      <w:pPr>
        <w:pStyle w:val="5"/>
        <w:spacing w:before="121"/>
        <w:ind w:left="672"/>
      </w:pPr>
      <w:r>
        <w:t xml:space="preserve">1、评标后，招标方在系统内确定中标方，作为签订合同的依据。 </w:t>
      </w:r>
    </w:p>
    <w:p>
      <w:pPr>
        <w:pStyle w:val="5"/>
        <w:spacing w:before="121"/>
        <w:ind w:left="672"/>
      </w:pPr>
      <w:r>
        <w:t xml:space="preserve">2、运价确定原则：合同运价以中标价为准。 </w:t>
      </w:r>
    </w:p>
    <w:p>
      <w:pPr>
        <w:pStyle w:val="5"/>
        <w:spacing w:before="122" w:line="321" w:lineRule="auto"/>
        <w:ind w:left="112" w:right="131" w:firstLine="559"/>
        <w:jc w:val="both"/>
      </w:pPr>
      <w:r>
        <w:t>3</w:t>
      </w:r>
      <w:r>
        <w:rPr>
          <w:spacing w:val="-3"/>
        </w:rPr>
        <w:t xml:space="preserve">、合同执行时间： </w:t>
      </w:r>
      <w:r>
        <w:t>12</w:t>
      </w:r>
      <w:r>
        <w:rPr>
          <w:spacing w:val="-2"/>
        </w:rPr>
        <w:t xml:space="preserve"> 个月</w:t>
      </w:r>
      <w:r>
        <w:t>（</w:t>
      </w:r>
      <w:r>
        <w:rPr>
          <w:spacing w:val="-3"/>
        </w:rPr>
        <w:t>视后期运作效果决定是否续签</w:t>
      </w:r>
      <w:r>
        <w:t xml:space="preserve">）， </w:t>
      </w:r>
      <w:r>
        <w:rPr>
          <w:spacing w:val="-3"/>
        </w:rPr>
        <w:t>外部业务根据实际项目合同期签订为准。</w:t>
      </w:r>
      <w:r>
        <w:rPr>
          <w:spacing w:val="-1"/>
        </w:rPr>
        <w:t xml:space="preserve"> </w:t>
      </w:r>
      <w:r>
        <w:t xml:space="preserve"> </w:t>
      </w:r>
    </w:p>
    <w:p>
      <w:pPr>
        <w:pStyle w:val="5"/>
        <w:spacing w:line="357" w:lineRule="exact"/>
        <w:ind w:left="672"/>
        <w:jc w:val="both"/>
      </w:pPr>
      <w:r>
        <w:t>4、中标人应在收到中标通知书的 7 个工作日内缴纳履约保证金。如中标</w:t>
      </w:r>
    </w:p>
    <w:p>
      <w:pPr>
        <w:pStyle w:val="5"/>
        <w:spacing w:before="121" w:line="321" w:lineRule="auto"/>
        <w:ind w:left="112" w:right="133"/>
        <w:jc w:val="both"/>
      </w:pPr>
      <w:r>
        <w:rPr>
          <w:spacing w:val="-1"/>
        </w:rPr>
        <w:t xml:space="preserve">人未能在 </w:t>
      </w:r>
      <w:r>
        <w:t>7</w:t>
      </w:r>
      <w:r>
        <w:rPr>
          <w:spacing w:val="-4"/>
        </w:rPr>
        <w:t xml:space="preserve"> 个工作日内同招标方签订合同或未缴纳履约保证金的，招标方有权</w:t>
      </w:r>
      <w:r>
        <w:t>取消其中标资格，并没收其投标保证金。招标方有权将本合同授予其它投标人</w:t>
      </w:r>
      <w:r>
        <w:rPr>
          <w:spacing w:val="-2"/>
        </w:rPr>
        <w:t xml:space="preserve">或重新组织招标。 </w:t>
      </w:r>
    </w:p>
    <w:p>
      <w:pPr>
        <w:pStyle w:val="5"/>
        <w:spacing w:line="321" w:lineRule="auto"/>
        <w:ind w:left="112" w:right="128" w:firstLine="559"/>
        <w:jc w:val="both"/>
      </w:pPr>
      <w:r>
        <w:t xml:space="preserve">5、中标人签订合同后，在合同有效期内擅自解除合同或严重违约或不履行招标方下达的运输任务，中标人同意招标方没收所缴纳的履约保证金，并赔偿招标方其它经济损失。 </w:t>
      </w:r>
    </w:p>
    <w:p>
      <w:pPr>
        <w:pStyle w:val="5"/>
        <w:spacing w:line="321" w:lineRule="auto"/>
        <w:ind w:left="112" w:right="126" w:firstLine="559"/>
        <w:jc w:val="both"/>
      </w:pPr>
      <w:r>
        <w:t xml:space="preserve">6、中标人需按照招标方要求，将自有外部业务流量导入至招标方，具体线路及规模根据实际情况进行约定，如中标人在中标后不同意此操作，招标方将有权将其中标线路，再次进行议价； </w:t>
      </w:r>
    </w:p>
    <w:p>
      <w:pPr>
        <w:pStyle w:val="4"/>
        <w:spacing w:line="356" w:lineRule="exact"/>
        <w:rPr>
          <w:rFonts w:ascii="黑体" w:eastAsia="黑体"/>
        </w:rPr>
      </w:pPr>
      <w:r>
        <w:rPr>
          <w:rFonts w:hint="eastAsia" w:ascii="黑体" w:eastAsia="黑体"/>
        </w:rPr>
        <w:t>九、其他</w:t>
      </w:r>
    </w:p>
    <w:p>
      <w:pPr>
        <w:pStyle w:val="5"/>
        <w:spacing w:before="118"/>
        <w:ind w:left="672"/>
      </w:pPr>
      <w:r>
        <w:t>1、招标方保留在投标前任何时候接受或拒绝任何投标，宣布招标程序无</w:t>
      </w:r>
    </w:p>
    <w:p>
      <w:pPr>
        <w:sectPr>
          <w:pgSz w:w="11910" w:h="16840"/>
          <w:pgMar w:top="1420" w:right="1000" w:bottom="980" w:left="1020" w:header="851" w:footer="793" w:gutter="0"/>
          <w:pgNumType w:fmt="decimal"/>
          <w:cols w:space="720" w:num="1"/>
        </w:sectPr>
      </w:pPr>
    </w:p>
    <w:p>
      <w:pPr>
        <w:pStyle w:val="5"/>
        <w:spacing w:before="106"/>
        <w:ind w:left="112"/>
      </w:pPr>
      <w:r>
        <w:t xml:space="preserve">效或拒绝所有投标的权利，并不承担受影响投标单位的任何损失。   </w:t>
      </w:r>
    </w:p>
    <w:p>
      <w:pPr>
        <w:pStyle w:val="5"/>
        <w:spacing w:before="122" w:line="321" w:lineRule="auto"/>
        <w:ind w:left="112" w:right="128" w:firstLine="559"/>
      </w:pPr>
      <w:r>
        <w:t xml:space="preserve">2、招标方有权决定是否酌情延长投标截止日期，在此情况下双方投标截止期制约的所有权利和义务均延长至新的截止日期。 </w:t>
      </w:r>
    </w:p>
    <w:p>
      <w:pPr>
        <w:pStyle w:val="5"/>
        <w:spacing w:line="357" w:lineRule="exact"/>
        <w:ind w:left="672"/>
      </w:pPr>
      <w:r>
        <w:t xml:space="preserve">3、招标方对已发出的招标文件有进行澄清或者修改的权利。 </w:t>
      </w:r>
    </w:p>
    <w:p>
      <w:pPr>
        <w:pStyle w:val="4"/>
        <w:spacing w:before="121"/>
        <w:rPr>
          <w:rFonts w:ascii="黑体" w:eastAsia="黑体"/>
        </w:rPr>
      </w:pPr>
      <w:r>
        <w:rPr>
          <w:rFonts w:hint="eastAsia" w:ascii="黑体" w:eastAsia="黑体"/>
        </w:rPr>
        <w:t>十、招标文件附件</w:t>
      </w:r>
    </w:p>
    <w:p>
      <w:pPr>
        <w:pStyle w:val="5"/>
        <w:spacing w:before="121"/>
        <w:ind w:left="684"/>
      </w:pPr>
      <w:r>
        <w:t xml:space="preserve">1、中标后正式合同模板：《公路运输服务合同A》 </w:t>
      </w:r>
    </w:p>
    <w:p>
      <w:pPr>
        <w:pStyle w:val="5"/>
        <w:spacing w:before="121" w:line="321" w:lineRule="auto"/>
        <w:ind w:left="684" w:right="1637"/>
      </w:pPr>
      <w:r>
        <w:t>2</w:t>
      </w:r>
      <w:r>
        <w:rPr>
          <w:spacing w:val="-11"/>
        </w:rPr>
        <w:t xml:space="preserve">、中标业务相关 </w:t>
      </w:r>
      <w:r>
        <w:t>KPI</w:t>
      </w:r>
      <w:r>
        <w:rPr>
          <w:spacing w:val="-10"/>
        </w:rPr>
        <w:t xml:space="preserve"> 考核条款：《业务运作补充考核条款》</w:t>
      </w:r>
      <w:r>
        <w:rPr>
          <w:spacing w:val="-7"/>
        </w:rPr>
        <w:t>以上附件，在实际供应商中标对应项目后提供；</w:t>
      </w:r>
      <w:r>
        <w:t xml:space="preserve"> </w:t>
      </w:r>
    </w:p>
    <w:p>
      <w:pPr>
        <w:pStyle w:val="4"/>
        <w:spacing w:line="358" w:lineRule="exact"/>
        <w:rPr>
          <w:rFonts w:ascii="黑体" w:eastAsia="黑体"/>
        </w:rPr>
      </w:pPr>
      <w:r>
        <w:rPr>
          <w:rFonts w:hint="eastAsia" w:ascii="黑体" w:eastAsia="黑体"/>
        </w:rPr>
        <w:t>十一、本招标说明书由</w:t>
      </w:r>
      <w:r>
        <w:rPr>
          <w:rFonts w:hint="eastAsia" w:ascii="黑体" w:eastAsia="黑体"/>
          <w:color w:val="FF0000"/>
        </w:rPr>
        <w:t>芜湖安得智联科技有限公司</w:t>
      </w:r>
      <w:r>
        <w:rPr>
          <w:rFonts w:hint="eastAsia" w:ascii="黑体" w:eastAsia="黑体"/>
        </w:rPr>
        <w:t>负责解释。</w:t>
      </w:r>
    </w:p>
    <w:p>
      <w:pPr>
        <w:pStyle w:val="5"/>
        <w:rPr>
          <w:rFonts w:ascii="黑体"/>
          <w:b/>
        </w:rPr>
      </w:pPr>
    </w:p>
    <w:p>
      <w:pPr>
        <w:pStyle w:val="5"/>
        <w:rPr>
          <w:rFonts w:ascii="黑体"/>
          <w:b/>
          <w:sz w:val="39"/>
        </w:rPr>
      </w:pPr>
    </w:p>
    <w:p>
      <w:pPr>
        <w:ind w:right="476"/>
        <w:jc w:val="right"/>
        <w:rPr>
          <w:rFonts w:ascii="黑体" w:eastAsia="黑体"/>
          <w:b/>
          <w:sz w:val="28"/>
        </w:rPr>
      </w:pPr>
      <w:r>
        <w:rPr>
          <w:rFonts w:hint="eastAsia" w:ascii="黑体" w:eastAsia="黑体"/>
          <w:b/>
          <w:w w:val="95"/>
          <w:sz w:val="28"/>
        </w:rPr>
        <w:t>招标单位：</w:t>
      </w:r>
      <w:r>
        <w:rPr>
          <w:rFonts w:hint="eastAsia" w:ascii="黑体" w:eastAsia="黑体"/>
          <w:b/>
          <w:color w:val="FF0000"/>
          <w:w w:val="95"/>
          <w:sz w:val="28"/>
        </w:rPr>
        <w:t>芜湖安得智联科技有限公司</w:t>
      </w:r>
    </w:p>
    <w:p>
      <w:pPr>
        <w:spacing w:before="40"/>
        <w:ind w:right="413"/>
        <w:jc w:val="right"/>
        <w:rPr>
          <w:sz w:val="28"/>
        </w:rPr>
      </w:pPr>
      <w:r>
        <w:rPr>
          <w:rFonts w:hint="eastAsia" w:ascii="黑体" w:eastAsia="黑体"/>
          <w:b/>
          <w:spacing w:val="69"/>
          <w:sz w:val="28"/>
          <w:lang w:val="en-US" w:eastAsia="zh-CN"/>
        </w:rPr>
        <w:t>2024</w:t>
      </w:r>
      <w:r>
        <w:rPr>
          <w:rFonts w:hint="eastAsia" w:ascii="黑体" w:eastAsia="黑体"/>
          <w:b/>
          <w:spacing w:val="-10"/>
          <w:sz w:val="28"/>
        </w:rPr>
        <w:t>年</w:t>
      </w:r>
      <w:r>
        <w:rPr>
          <w:rFonts w:hint="eastAsia" w:ascii="黑体" w:eastAsia="黑体"/>
          <w:b/>
          <w:spacing w:val="-10"/>
          <w:sz w:val="28"/>
          <w:lang w:val="en-US" w:eastAsia="zh-CN"/>
        </w:rPr>
        <w:t>12</w:t>
      </w:r>
      <w:r>
        <w:rPr>
          <w:rFonts w:hint="eastAsia" w:ascii="黑体" w:eastAsia="黑体"/>
          <w:b/>
          <w:spacing w:val="-10"/>
          <w:sz w:val="28"/>
        </w:rPr>
        <w:t>月</w:t>
      </w:r>
      <w:r>
        <w:rPr>
          <w:rFonts w:hint="eastAsia" w:ascii="黑体" w:eastAsia="黑体"/>
          <w:b/>
          <w:spacing w:val="-10"/>
          <w:sz w:val="28"/>
          <w:lang w:val="en-US" w:eastAsia="zh-CN"/>
        </w:rPr>
        <w:t>28</w:t>
      </w:r>
      <w:r>
        <w:rPr>
          <w:rFonts w:hint="eastAsia" w:ascii="黑体" w:eastAsia="黑体"/>
          <w:b/>
          <w:spacing w:val="-10"/>
          <w:sz w:val="28"/>
        </w:rPr>
        <w:t>日</w:t>
      </w:r>
    </w:p>
    <w:sectPr>
      <w:pgSz w:w="11910" w:h="16840"/>
      <w:pgMar w:top="1420" w:right="1000" w:bottom="980" w:left="1020" w:header="851" w:footer="793"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65408" behindDoc="1" locked="0" layoutInCell="1" allowOverlap="1">
              <wp:simplePos x="0" y="0"/>
              <wp:positionH relativeFrom="page">
                <wp:posOffset>3352800</wp:posOffset>
              </wp:positionH>
              <wp:positionV relativeFrom="page">
                <wp:posOffset>10048875</wp:posOffset>
              </wp:positionV>
              <wp:extent cx="856615" cy="152400"/>
              <wp:effectExtent l="0" t="0" r="635" b="0"/>
              <wp:wrapNone/>
              <wp:docPr id="2" name="Text Box 1029"/>
              <wp:cNvGraphicFramePr/>
              <a:graphic xmlns:a="http://schemas.openxmlformats.org/drawingml/2006/main">
                <a:graphicData uri="http://schemas.microsoft.com/office/word/2010/wordprocessingShape">
                  <wps:wsp>
                    <wps:cNvSpPr txBox="1">
                      <a:spLocks noChangeArrowheads="1"/>
                    </wps:cNvSpPr>
                    <wps:spPr bwMode="auto">
                      <a:xfrm>
                        <a:off x="0" y="0"/>
                        <a:ext cx="856615" cy="152400"/>
                      </a:xfrm>
                      <a:prstGeom prst="rect">
                        <a:avLst/>
                      </a:prstGeom>
                      <a:noFill/>
                      <a:ln>
                        <a:noFill/>
                      </a:ln>
                    </wps:spPr>
                    <wps:txbx>
                      <w:txbxContent>
                        <w:p>
                          <w:pPr>
                            <w:ind w:left="20"/>
                            <w:rPr>
                              <w:sz w:val="18"/>
                            </w:rPr>
                          </w:pPr>
                          <w:r>
                            <w:rPr>
                              <w:spacing w:val="-23"/>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3</w:t>
                          </w:r>
                          <w:r>
                            <w:fldChar w:fldCharType="end"/>
                          </w:r>
                          <w:r>
                            <w:rPr>
                              <w:rFonts w:ascii="Times New Roman" w:eastAsia="Times New Roman"/>
                              <w:sz w:val="18"/>
                            </w:rPr>
                            <w:t xml:space="preserve"> </w:t>
                          </w:r>
                          <w:r>
                            <w:rPr>
                              <w:spacing w:val="-2"/>
                              <w:sz w:val="18"/>
                            </w:rPr>
                            <w:t xml:space="preserve">页共 </w:t>
                          </w:r>
                          <w:r>
                            <w:rPr>
                              <w:rFonts w:ascii="Times New Roman" w:eastAsia="Times New Roman"/>
                              <w:sz w:val="18"/>
                            </w:rPr>
                            <w:t xml:space="preserve">11 </w:t>
                          </w:r>
                          <w:r>
                            <w:rPr>
                              <w:sz w:val="18"/>
                            </w:rPr>
                            <w:t>页</w:t>
                          </w:r>
                        </w:p>
                      </w:txbxContent>
                    </wps:txbx>
                    <wps:bodyPr rot="0" vert="horz" wrap="square" lIns="0" tIns="0" rIns="0" bIns="0" anchor="t" anchorCtr="0" upright="1">
                      <a:noAutofit/>
                    </wps:bodyPr>
                  </wps:wsp>
                </a:graphicData>
              </a:graphic>
            </wp:anchor>
          </w:drawing>
        </mc:Choice>
        <mc:Fallback>
          <w:pict>
            <v:shape id="Text Box 1029" o:spid="_x0000_s1026" o:spt="202" type="#_x0000_t202" style="position:absolute;left:0pt;margin-left:264pt;margin-top:791.25pt;height:12pt;width:67.45pt;mso-position-horizontal-relative:page;mso-position-vertical-relative:page;z-index:-251651072;mso-width-relative:page;mso-height-relative:page;" filled="f" stroked="f" coordsize="21600,21600" o:gfxdata="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imJ5NoAAAANAQAADwAAAAAAAAABACAAAAAiAAAAZHJzL2Rv&#10;d25yZXYueG1sUEsBAhQAFAAAAAgAh07iQEKAALf/AQAABgQAAA4AAAAAAAAAAQAgAAAAKQEAAGRy&#10;cy9lMm9Eb2MueG1sUEsFBgAAAAAGAAYAWQEAAJoFAAAAAA==&#10;">
              <v:fill on="f" focussize="0,0"/>
              <v:stroke on="f"/>
              <v:imagedata o:title=""/>
              <o:lock v:ext="edit" aspectratio="f"/>
              <v:textbox inset="0mm,0mm,0mm,0mm">
                <w:txbxContent>
                  <w:p>
                    <w:pPr>
                      <w:ind w:left="20"/>
                      <w:rPr>
                        <w:sz w:val="18"/>
                      </w:rPr>
                    </w:pPr>
                    <w:r>
                      <w:rPr>
                        <w:spacing w:val="-23"/>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3</w:t>
                    </w:r>
                    <w:r>
                      <w:fldChar w:fldCharType="end"/>
                    </w:r>
                    <w:r>
                      <w:rPr>
                        <w:rFonts w:ascii="Times New Roman" w:eastAsia="Times New Roman"/>
                        <w:sz w:val="18"/>
                      </w:rPr>
                      <w:t xml:space="preserve"> </w:t>
                    </w:r>
                    <w:r>
                      <w:rPr>
                        <w:spacing w:val="-2"/>
                        <w:sz w:val="18"/>
                      </w:rPr>
                      <w:t xml:space="preserve">页共 </w:t>
                    </w:r>
                    <w:r>
                      <w:rPr>
                        <w:rFonts w:ascii="Times New Roman" w:eastAsia="Times New Roman"/>
                        <w:sz w:val="18"/>
                      </w:rPr>
                      <w:t xml:space="preserve">11 </w:t>
                    </w:r>
                    <w:r>
                      <w:rPr>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lang w:val="en-US" w:bidi="ar-SA"/>
      </w:rPr>
      <w:drawing>
        <wp:anchor distT="0" distB="0" distL="0" distR="0" simplePos="0" relativeHeight="251659264" behindDoc="1" locked="0" layoutInCell="1" allowOverlap="1">
          <wp:simplePos x="0" y="0"/>
          <wp:positionH relativeFrom="page">
            <wp:posOffset>930910</wp:posOffset>
          </wp:positionH>
          <wp:positionV relativeFrom="page">
            <wp:posOffset>539750</wp:posOffset>
          </wp:positionV>
          <wp:extent cx="754380" cy="29400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754673" cy="294159"/>
                  </a:xfrm>
                  <a:prstGeom prst="rect">
                    <a:avLst/>
                  </a:prstGeom>
                </pic:spPr>
              </pic:pic>
            </a:graphicData>
          </a:graphic>
        </wp:anchor>
      </w:drawing>
    </w:r>
    <w:r>
      <w:rPr>
        <w:lang w:val="en-US" w:bidi="ar-SA"/>
      </w:rPr>
      <mc:AlternateContent>
        <mc:Choice Requires="wps">
          <w:drawing>
            <wp:anchor distT="0" distB="0" distL="114300" distR="114300" simplePos="0" relativeHeight="251660288" behindDoc="1" locked="0" layoutInCell="1" allowOverlap="1">
              <wp:simplePos x="0" y="0"/>
              <wp:positionH relativeFrom="page">
                <wp:posOffset>701040</wp:posOffset>
              </wp:positionH>
              <wp:positionV relativeFrom="page">
                <wp:posOffset>906145</wp:posOffset>
              </wp:positionV>
              <wp:extent cx="6158230" cy="0"/>
              <wp:effectExtent l="5715" t="10795" r="8255" b="8255"/>
              <wp:wrapNone/>
              <wp:docPr id="7" name="Line 1025"/>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9144">
                        <a:solidFill>
                          <a:srgbClr val="000000"/>
                        </a:solidFill>
                        <a:round/>
                      </a:ln>
                    </wps:spPr>
                    <wps:bodyPr/>
                  </wps:wsp>
                </a:graphicData>
              </a:graphic>
            </wp:anchor>
          </w:drawing>
        </mc:Choice>
        <mc:Fallback>
          <w:pict>
            <v:line id="Line 1025" o:spid="_x0000_s1026" o:spt="20" style="position:absolute;left:0pt;margin-left:55.2pt;margin-top:71.35pt;height:0pt;width:484.9pt;mso-position-horizontal-relative:page;mso-position-vertical-relative:page;z-index:-251656192;mso-width-relative:page;mso-height-relative:page;" filled="f" stroked="t" coordsize="21600,21600" o:gfxdata="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dLhy9cAAAAMAQAADwAAAAAAAAABACAAAAAiAAAAZHJz&#10;L2Rvd25yZXYueG1sUEsBAhQAFAAAAAgAh07iQCjsysXMAQAAogMAAA4AAAAAAAAAAQAgAAAAJgEA&#10;AGRycy9lMm9Eb2MueG1sUEsFBgAAAAAGAAYAWQEAAGQFAAAA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1312" behindDoc="1" locked="0" layoutInCell="1" allowOverlap="1">
              <wp:simplePos x="0" y="0"/>
              <wp:positionH relativeFrom="page">
                <wp:posOffset>1887855</wp:posOffset>
              </wp:positionH>
              <wp:positionV relativeFrom="page">
                <wp:posOffset>716915</wp:posOffset>
              </wp:positionV>
              <wp:extent cx="5008880" cy="165735"/>
              <wp:effectExtent l="1905" t="2540" r="0" b="3175"/>
              <wp:wrapNone/>
              <wp:docPr id="6"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5008880" cy="165735"/>
                      </a:xfrm>
                      <a:prstGeom prst="rect">
                        <a:avLst/>
                      </a:prstGeom>
                      <a:noFill/>
                      <a:ln>
                        <a:noFill/>
                      </a:ln>
                    </wps:spPr>
                    <wps:txbx>
                      <w:txbxContent>
                        <w:p>
                          <w:pPr>
                            <w:spacing w:line="261" w:lineRule="exact"/>
                            <w:ind w:left="20"/>
                            <w:jc w:val="right"/>
                            <w:rPr>
                              <w:rFonts w:hint="eastAsia" w:ascii="Helvetica" w:hAnsi="Helvetica" w:eastAsia="Helvetica" w:cs="Helvetica"/>
                              <w:i w:val="0"/>
                              <w:iCs w:val="0"/>
                              <w:caps w:val="0"/>
                              <w:color w:val="FF0000"/>
                              <w:spacing w:val="0"/>
                              <w:sz w:val="18"/>
                              <w:szCs w:val="18"/>
                              <w:shd w:val="clear" w:fill="F6F6F7"/>
                            </w:rPr>
                          </w:pPr>
                          <w:r>
                            <w:rPr>
                              <w:rFonts w:hint="eastAsia"/>
                              <w:color w:val="FF0000"/>
                              <w:w w:val="99"/>
                              <w:sz w:val="20"/>
                            </w:rPr>
                            <w:t>芜湖安得智联福建分公司干线业务招标公告告</w:t>
                          </w:r>
                        </w:p>
                        <w:p>
                          <w:pPr>
                            <w:spacing w:line="261" w:lineRule="exact"/>
                            <w:ind w:left="20"/>
                            <w:rPr>
                              <w:rFonts w:hint="eastAsia" w:ascii="Helvetica" w:hAnsi="Helvetica" w:eastAsia="Helvetica" w:cs="Helvetica"/>
                              <w:i w:val="0"/>
                              <w:iCs w:val="0"/>
                              <w:caps w:val="0"/>
                              <w:color w:val="FF0000"/>
                              <w:spacing w:val="0"/>
                              <w:sz w:val="18"/>
                              <w:szCs w:val="18"/>
                              <w:shd w:val="clear" w:fill="F6F6F7"/>
                            </w:rPr>
                          </w:pPr>
                        </w:p>
                        <w:p>
                          <w:pPr>
                            <w:spacing w:line="261" w:lineRule="exact"/>
                            <w:ind w:left="20"/>
                            <w:rPr>
                              <w:rFonts w:hint="eastAsia" w:ascii="Helvetica" w:hAnsi="Helvetica" w:eastAsia="Helvetica" w:cs="Helvetica"/>
                              <w:i w:val="0"/>
                              <w:iCs w:val="0"/>
                              <w:caps w:val="0"/>
                              <w:color w:val="FF0000"/>
                              <w:spacing w:val="0"/>
                              <w:sz w:val="18"/>
                              <w:szCs w:val="18"/>
                              <w:shd w:val="clear" w:fill="F6F6F7"/>
                            </w:rPr>
                          </w:pPr>
                        </w:p>
                      </w:txbxContent>
                    </wps:txbx>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left:148.65pt;margin-top:56.45pt;height:13.05pt;width:394.4pt;mso-position-horizontal-relative:page;mso-position-vertical-relative:page;z-index:-251655168;mso-width-relative:page;mso-height-relative:page;" filled="f" stroked="f" coordsize="21600,21600" o:gfxdata="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cd1cPaAAAADAEAAA8AAAAAAAAAAQAgAAAAIgAAAGRycy9k&#10;b3ducmV2LnhtbFBLAQIUABQAAAAIAIdO4kCE1IicAAIAAAcEAAAOAAAAAAAAAAEAIAAAACkBAABk&#10;cnMvZTJvRG9jLnhtbFBLBQYAAAAABgAGAFkBAACbBQAAAAA=&#10;">
              <v:fill on="f" focussize="0,0"/>
              <v:stroke on="f"/>
              <v:imagedata o:title=""/>
              <o:lock v:ext="edit" aspectratio="f"/>
              <v:textbox inset="0mm,0mm,0mm,0mm">
                <w:txbxContent>
                  <w:p>
                    <w:pPr>
                      <w:spacing w:line="261" w:lineRule="exact"/>
                      <w:ind w:left="20"/>
                      <w:jc w:val="right"/>
                      <w:rPr>
                        <w:rFonts w:hint="eastAsia" w:ascii="Helvetica" w:hAnsi="Helvetica" w:eastAsia="Helvetica" w:cs="Helvetica"/>
                        <w:i w:val="0"/>
                        <w:iCs w:val="0"/>
                        <w:caps w:val="0"/>
                        <w:color w:val="FF0000"/>
                        <w:spacing w:val="0"/>
                        <w:sz w:val="18"/>
                        <w:szCs w:val="18"/>
                        <w:shd w:val="clear" w:fill="F6F6F7"/>
                      </w:rPr>
                    </w:pPr>
                    <w:r>
                      <w:rPr>
                        <w:rFonts w:hint="eastAsia"/>
                        <w:color w:val="FF0000"/>
                        <w:w w:val="99"/>
                        <w:sz w:val="20"/>
                      </w:rPr>
                      <w:t>芜湖安得智联福建分公司干线业务招标公告告</w:t>
                    </w:r>
                  </w:p>
                  <w:p>
                    <w:pPr>
                      <w:spacing w:line="261" w:lineRule="exact"/>
                      <w:ind w:left="20"/>
                      <w:rPr>
                        <w:rFonts w:hint="eastAsia" w:ascii="Helvetica" w:hAnsi="Helvetica" w:eastAsia="Helvetica" w:cs="Helvetica"/>
                        <w:i w:val="0"/>
                        <w:iCs w:val="0"/>
                        <w:caps w:val="0"/>
                        <w:color w:val="FF0000"/>
                        <w:spacing w:val="0"/>
                        <w:sz w:val="18"/>
                        <w:szCs w:val="18"/>
                        <w:shd w:val="clear" w:fill="F6F6F7"/>
                      </w:rPr>
                    </w:pPr>
                  </w:p>
                  <w:p>
                    <w:pPr>
                      <w:spacing w:line="261" w:lineRule="exact"/>
                      <w:ind w:left="20"/>
                      <w:rPr>
                        <w:rFonts w:hint="eastAsia" w:ascii="Helvetica" w:hAnsi="Helvetica" w:eastAsia="Helvetica" w:cs="Helvetica"/>
                        <w:i w:val="0"/>
                        <w:iCs w:val="0"/>
                        <w:caps w:val="0"/>
                        <w:color w:val="FF0000"/>
                        <w:spacing w:val="0"/>
                        <w:sz w:val="18"/>
                        <w:szCs w:val="18"/>
                        <w:shd w:val="clear" w:fill="F6F6F7"/>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lang w:val="en-US" w:bidi="ar-SA"/>
      </w:rPr>
      <w:drawing>
        <wp:anchor distT="0" distB="0" distL="0" distR="0" simplePos="0" relativeHeight="251662336" behindDoc="1" locked="0" layoutInCell="1" allowOverlap="1">
          <wp:simplePos x="0" y="0"/>
          <wp:positionH relativeFrom="page">
            <wp:posOffset>930910</wp:posOffset>
          </wp:positionH>
          <wp:positionV relativeFrom="page">
            <wp:posOffset>539750</wp:posOffset>
          </wp:positionV>
          <wp:extent cx="754380" cy="29400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754673" cy="294159"/>
                  </a:xfrm>
                  <a:prstGeom prst="rect">
                    <a:avLst/>
                  </a:prstGeom>
                </pic:spPr>
              </pic:pic>
            </a:graphicData>
          </a:graphic>
        </wp:anchor>
      </w:drawing>
    </w:r>
    <w:r>
      <w:rPr>
        <w:lang w:val="en-US" w:bidi="ar-SA"/>
      </w:rPr>
      <mc:AlternateContent>
        <mc:Choice Requires="wps">
          <w:drawing>
            <wp:anchor distT="0" distB="0" distL="114300" distR="114300" simplePos="0" relativeHeight="251663360" behindDoc="1" locked="0" layoutInCell="1" allowOverlap="1">
              <wp:simplePos x="0" y="0"/>
              <wp:positionH relativeFrom="page">
                <wp:posOffset>701040</wp:posOffset>
              </wp:positionH>
              <wp:positionV relativeFrom="page">
                <wp:posOffset>906145</wp:posOffset>
              </wp:positionV>
              <wp:extent cx="6158230" cy="0"/>
              <wp:effectExtent l="5715" t="10795" r="8255" b="8255"/>
              <wp:wrapNone/>
              <wp:docPr id="5" name="Line 1027"/>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9144">
                        <a:solidFill>
                          <a:srgbClr val="000000"/>
                        </a:solidFill>
                        <a:round/>
                      </a:ln>
                    </wps:spPr>
                    <wps:bodyPr/>
                  </wps:wsp>
                </a:graphicData>
              </a:graphic>
            </wp:anchor>
          </w:drawing>
        </mc:Choice>
        <mc:Fallback>
          <w:pict>
            <v:line id="Line 1027" o:spid="_x0000_s1026" o:spt="20" style="position:absolute;left:0pt;margin-left:55.2pt;margin-top:71.35pt;height:0pt;width:484.9pt;mso-position-horizontal-relative:page;mso-position-vertical-relative:page;z-index:-251653120;mso-width-relative:page;mso-height-relative:page;" filled="f" stroked="t" coordsize="21600,21600" o:gfxdata="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dLhy9cAAAAMAQAADwAAAAAAAAABACAAAAAiAAAAZHJz&#10;L2Rvd25yZXYueG1sUEsBAhQAFAAAAAgAh07iQPeHdlvMAQAAogMAAA4AAAAAAAAAAQAgAAAAJgEA&#10;AGRycy9lMm9Eb2MueG1sUEsFBgAAAAAGAAYAWQEAAGQFAAAA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4384" behindDoc="1" locked="0" layoutInCell="1" allowOverlap="1">
              <wp:simplePos x="0" y="0"/>
              <wp:positionH relativeFrom="page">
                <wp:posOffset>1887855</wp:posOffset>
              </wp:positionH>
              <wp:positionV relativeFrom="page">
                <wp:posOffset>716915</wp:posOffset>
              </wp:positionV>
              <wp:extent cx="4942840" cy="165735"/>
              <wp:effectExtent l="1905" t="2540" r="0" b="3175"/>
              <wp:wrapNone/>
              <wp:docPr id="4"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4942840" cy="165735"/>
                      </a:xfrm>
                      <a:prstGeom prst="rect">
                        <a:avLst/>
                      </a:prstGeom>
                      <a:noFill/>
                      <a:ln>
                        <a:noFill/>
                      </a:ln>
                    </wps:spPr>
                    <wps:txbx>
                      <w:txbxContent>
                        <w:p>
                          <w:pPr>
                            <w:spacing w:line="261" w:lineRule="exact"/>
                            <w:ind w:left="20"/>
                            <w:jc w:val="right"/>
                          </w:pPr>
                          <w:r>
                            <w:rPr>
                              <w:rFonts w:hint="eastAsia" w:ascii="Helvetica" w:hAnsi="Helvetica" w:eastAsia="Helvetica" w:cs="Helvetica"/>
                              <w:i w:val="0"/>
                              <w:iCs w:val="0"/>
                              <w:caps w:val="0"/>
                              <w:color w:val="FF0000"/>
                              <w:spacing w:val="0"/>
                              <w:sz w:val="18"/>
                              <w:szCs w:val="18"/>
                              <w:shd w:val="clear" w:fill="F6F6F7"/>
                            </w:rPr>
                            <w:t>芜湖安得智联福建分公司干线业务招标公告</w:t>
                          </w:r>
                        </w:p>
                      </w:txbxContent>
                    </wps:txbx>
                    <wps:bodyPr rot="0" vert="horz" wrap="square" lIns="0" tIns="0" rIns="0" bIns="0" anchor="t" anchorCtr="0" upright="1">
                      <a:noAutofit/>
                    </wps:bodyPr>
                  </wps:wsp>
                </a:graphicData>
              </a:graphic>
            </wp:anchor>
          </w:drawing>
        </mc:Choice>
        <mc:Fallback>
          <w:pict>
            <v:shape id="Text Box 1028" o:spid="_x0000_s1026" o:spt="202" type="#_x0000_t202" style="position:absolute;left:0pt;margin-left:148.65pt;margin-top:56.45pt;height:13.05pt;width:389.2pt;mso-position-horizontal-relative:page;mso-position-vertical-relative:page;z-index:-251652096;mso-width-relative:page;mso-height-relative:page;" filled="f" stroked="f" coordsize="21600,21600" o:gfxdata="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8zzXu2gAAAAwBAAAPAAAAAAAAAAEAIAAAACIAAABkcnMv&#10;ZG93bnJldi54bWxQSwECFAAUAAAACACHTuJAXXifyAECAAAHBAAADgAAAAAAAAABACAAAAApAQAA&#10;ZHJzL2Uyb0RvYy54bWxQSwUGAAAAAAYABgBZAQAAnAUAAAAA&#10;">
              <v:fill on="f" focussize="0,0"/>
              <v:stroke on="f"/>
              <v:imagedata o:title=""/>
              <o:lock v:ext="edit" aspectratio="f"/>
              <v:textbox inset="0mm,0mm,0mm,0mm">
                <w:txbxContent>
                  <w:p>
                    <w:pPr>
                      <w:spacing w:line="261" w:lineRule="exact"/>
                      <w:ind w:left="20"/>
                      <w:jc w:val="right"/>
                    </w:pPr>
                    <w:r>
                      <w:rPr>
                        <w:rFonts w:hint="eastAsia" w:ascii="Helvetica" w:hAnsi="Helvetica" w:eastAsia="Helvetica" w:cs="Helvetica"/>
                        <w:i w:val="0"/>
                        <w:iCs w:val="0"/>
                        <w:caps w:val="0"/>
                        <w:color w:val="FF0000"/>
                        <w:spacing w:val="0"/>
                        <w:sz w:val="18"/>
                        <w:szCs w:val="18"/>
                        <w:shd w:val="clear" w:fill="F6F6F7"/>
                      </w:rPr>
                      <w:t>芜湖安得智联福建分公司干线业务招标公告</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A002A"/>
    <w:multiLevelType w:val="singleLevel"/>
    <w:tmpl w:val="AD6A002A"/>
    <w:lvl w:ilvl="0" w:tentative="0">
      <w:start w:val="5"/>
      <w:numFmt w:val="decimal"/>
      <w:suff w:val="nothing"/>
      <w:lvlText w:val="%1、"/>
      <w:lvlJc w:val="left"/>
    </w:lvl>
  </w:abstractNum>
  <w:abstractNum w:abstractNumId="1">
    <w:nsid w:val="B5E306ED"/>
    <w:multiLevelType w:val="multilevel"/>
    <w:tmpl w:val="B5E306ED"/>
    <w:lvl w:ilvl="0" w:tentative="0">
      <w:start w:val="1"/>
      <w:numFmt w:val="decimal"/>
      <w:lvlText w:val="（%1）"/>
      <w:lvlJc w:val="left"/>
      <w:pPr>
        <w:ind w:left="1098" w:hanging="705"/>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978" w:hanging="705"/>
      </w:pPr>
      <w:rPr>
        <w:rFonts w:hint="default"/>
        <w:lang w:val="zh-CN" w:eastAsia="zh-CN" w:bidi="zh-CN"/>
      </w:rPr>
    </w:lvl>
    <w:lvl w:ilvl="2" w:tentative="0">
      <w:start w:val="0"/>
      <w:numFmt w:val="bullet"/>
      <w:lvlText w:val="•"/>
      <w:lvlJc w:val="left"/>
      <w:pPr>
        <w:ind w:left="2857" w:hanging="705"/>
      </w:pPr>
      <w:rPr>
        <w:rFonts w:hint="default"/>
        <w:lang w:val="zh-CN" w:eastAsia="zh-CN" w:bidi="zh-CN"/>
      </w:rPr>
    </w:lvl>
    <w:lvl w:ilvl="3" w:tentative="0">
      <w:start w:val="0"/>
      <w:numFmt w:val="bullet"/>
      <w:lvlText w:val="•"/>
      <w:lvlJc w:val="left"/>
      <w:pPr>
        <w:ind w:left="3735" w:hanging="705"/>
      </w:pPr>
      <w:rPr>
        <w:rFonts w:hint="default"/>
        <w:lang w:val="zh-CN" w:eastAsia="zh-CN" w:bidi="zh-CN"/>
      </w:rPr>
    </w:lvl>
    <w:lvl w:ilvl="4" w:tentative="0">
      <w:start w:val="0"/>
      <w:numFmt w:val="bullet"/>
      <w:lvlText w:val="•"/>
      <w:lvlJc w:val="left"/>
      <w:pPr>
        <w:ind w:left="4614" w:hanging="705"/>
      </w:pPr>
      <w:rPr>
        <w:rFonts w:hint="default"/>
        <w:lang w:val="zh-CN" w:eastAsia="zh-CN" w:bidi="zh-CN"/>
      </w:rPr>
    </w:lvl>
    <w:lvl w:ilvl="5" w:tentative="0">
      <w:start w:val="0"/>
      <w:numFmt w:val="bullet"/>
      <w:lvlText w:val="•"/>
      <w:lvlJc w:val="left"/>
      <w:pPr>
        <w:ind w:left="5493" w:hanging="705"/>
      </w:pPr>
      <w:rPr>
        <w:rFonts w:hint="default"/>
        <w:lang w:val="zh-CN" w:eastAsia="zh-CN" w:bidi="zh-CN"/>
      </w:rPr>
    </w:lvl>
    <w:lvl w:ilvl="6" w:tentative="0">
      <w:start w:val="0"/>
      <w:numFmt w:val="bullet"/>
      <w:lvlText w:val="•"/>
      <w:lvlJc w:val="left"/>
      <w:pPr>
        <w:ind w:left="6371" w:hanging="705"/>
      </w:pPr>
      <w:rPr>
        <w:rFonts w:hint="default"/>
        <w:lang w:val="zh-CN" w:eastAsia="zh-CN" w:bidi="zh-CN"/>
      </w:rPr>
    </w:lvl>
    <w:lvl w:ilvl="7" w:tentative="0">
      <w:start w:val="0"/>
      <w:numFmt w:val="bullet"/>
      <w:lvlText w:val="•"/>
      <w:lvlJc w:val="left"/>
      <w:pPr>
        <w:ind w:left="7250" w:hanging="705"/>
      </w:pPr>
      <w:rPr>
        <w:rFonts w:hint="default"/>
        <w:lang w:val="zh-CN" w:eastAsia="zh-CN" w:bidi="zh-CN"/>
      </w:rPr>
    </w:lvl>
    <w:lvl w:ilvl="8" w:tentative="0">
      <w:start w:val="0"/>
      <w:numFmt w:val="bullet"/>
      <w:lvlText w:val="•"/>
      <w:lvlJc w:val="left"/>
      <w:pPr>
        <w:ind w:left="8129" w:hanging="705"/>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12" w:hanging="725"/>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1096" w:hanging="725"/>
      </w:pPr>
      <w:rPr>
        <w:rFonts w:hint="default"/>
        <w:lang w:val="zh-CN" w:eastAsia="zh-CN" w:bidi="zh-CN"/>
      </w:rPr>
    </w:lvl>
    <w:lvl w:ilvl="2" w:tentative="0">
      <w:start w:val="0"/>
      <w:numFmt w:val="bullet"/>
      <w:lvlText w:val="•"/>
      <w:lvlJc w:val="left"/>
      <w:pPr>
        <w:ind w:left="2073" w:hanging="725"/>
      </w:pPr>
      <w:rPr>
        <w:rFonts w:hint="default"/>
        <w:lang w:val="zh-CN" w:eastAsia="zh-CN" w:bidi="zh-CN"/>
      </w:rPr>
    </w:lvl>
    <w:lvl w:ilvl="3" w:tentative="0">
      <w:start w:val="0"/>
      <w:numFmt w:val="bullet"/>
      <w:lvlText w:val="•"/>
      <w:lvlJc w:val="left"/>
      <w:pPr>
        <w:ind w:left="3049" w:hanging="725"/>
      </w:pPr>
      <w:rPr>
        <w:rFonts w:hint="default"/>
        <w:lang w:val="zh-CN" w:eastAsia="zh-CN" w:bidi="zh-CN"/>
      </w:rPr>
    </w:lvl>
    <w:lvl w:ilvl="4" w:tentative="0">
      <w:start w:val="0"/>
      <w:numFmt w:val="bullet"/>
      <w:lvlText w:val="•"/>
      <w:lvlJc w:val="left"/>
      <w:pPr>
        <w:ind w:left="4026" w:hanging="725"/>
      </w:pPr>
      <w:rPr>
        <w:rFonts w:hint="default"/>
        <w:lang w:val="zh-CN" w:eastAsia="zh-CN" w:bidi="zh-CN"/>
      </w:rPr>
    </w:lvl>
    <w:lvl w:ilvl="5" w:tentative="0">
      <w:start w:val="0"/>
      <w:numFmt w:val="bullet"/>
      <w:lvlText w:val="•"/>
      <w:lvlJc w:val="left"/>
      <w:pPr>
        <w:ind w:left="5003" w:hanging="725"/>
      </w:pPr>
      <w:rPr>
        <w:rFonts w:hint="default"/>
        <w:lang w:val="zh-CN" w:eastAsia="zh-CN" w:bidi="zh-CN"/>
      </w:rPr>
    </w:lvl>
    <w:lvl w:ilvl="6" w:tentative="0">
      <w:start w:val="0"/>
      <w:numFmt w:val="bullet"/>
      <w:lvlText w:val="•"/>
      <w:lvlJc w:val="left"/>
      <w:pPr>
        <w:ind w:left="5979" w:hanging="725"/>
      </w:pPr>
      <w:rPr>
        <w:rFonts w:hint="default"/>
        <w:lang w:val="zh-CN" w:eastAsia="zh-CN" w:bidi="zh-CN"/>
      </w:rPr>
    </w:lvl>
    <w:lvl w:ilvl="7" w:tentative="0">
      <w:start w:val="0"/>
      <w:numFmt w:val="bullet"/>
      <w:lvlText w:val="•"/>
      <w:lvlJc w:val="left"/>
      <w:pPr>
        <w:ind w:left="6956" w:hanging="725"/>
      </w:pPr>
      <w:rPr>
        <w:rFonts w:hint="default"/>
        <w:lang w:val="zh-CN" w:eastAsia="zh-CN" w:bidi="zh-CN"/>
      </w:rPr>
    </w:lvl>
    <w:lvl w:ilvl="8" w:tentative="0">
      <w:start w:val="0"/>
      <w:numFmt w:val="bullet"/>
      <w:lvlText w:val="•"/>
      <w:lvlJc w:val="left"/>
      <w:pPr>
        <w:ind w:left="7933" w:hanging="725"/>
      </w:pPr>
      <w:rPr>
        <w:rFonts w:hint="default"/>
        <w:lang w:val="zh-CN" w:eastAsia="zh-CN" w:bidi="zh-CN"/>
      </w:rPr>
    </w:lvl>
  </w:abstractNum>
  <w:abstractNum w:abstractNumId="3">
    <w:nsid w:val="CF092B84"/>
    <w:multiLevelType w:val="multilevel"/>
    <w:tmpl w:val="CF092B84"/>
    <w:lvl w:ilvl="0" w:tentative="0">
      <w:start w:val="1"/>
      <w:numFmt w:val="decimal"/>
      <w:lvlText w:val="（%1）"/>
      <w:lvlJc w:val="left"/>
      <w:pPr>
        <w:ind w:left="1098" w:hanging="705"/>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978" w:hanging="705"/>
      </w:pPr>
      <w:rPr>
        <w:rFonts w:hint="default"/>
        <w:lang w:val="zh-CN" w:eastAsia="zh-CN" w:bidi="zh-CN"/>
      </w:rPr>
    </w:lvl>
    <w:lvl w:ilvl="2" w:tentative="0">
      <w:start w:val="0"/>
      <w:numFmt w:val="bullet"/>
      <w:lvlText w:val="•"/>
      <w:lvlJc w:val="left"/>
      <w:pPr>
        <w:ind w:left="2857" w:hanging="705"/>
      </w:pPr>
      <w:rPr>
        <w:rFonts w:hint="default"/>
        <w:lang w:val="zh-CN" w:eastAsia="zh-CN" w:bidi="zh-CN"/>
      </w:rPr>
    </w:lvl>
    <w:lvl w:ilvl="3" w:tentative="0">
      <w:start w:val="0"/>
      <w:numFmt w:val="bullet"/>
      <w:lvlText w:val="•"/>
      <w:lvlJc w:val="left"/>
      <w:pPr>
        <w:ind w:left="3735" w:hanging="705"/>
      </w:pPr>
      <w:rPr>
        <w:rFonts w:hint="default"/>
        <w:lang w:val="zh-CN" w:eastAsia="zh-CN" w:bidi="zh-CN"/>
      </w:rPr>
    </w:lvl>
    <w:lvl w:ilvl="4" w:tentative="0">
      <w:start w:val="0"/>
      <w:numFmt w:val="bullet"/>
      <w:lvlText w:val="•"/>
      <w:lvlJc w:val="left"/>
      <w:pPr>
        <w:ind w:left="4614" w:hanging="705"/>
      </w:pPr>
      <w:rPr>
        <w:rFonts w:hint="default"/>
        <w:lang w:val="zh-CN" w:eastAsia="zh-CN" w:bidi="zh-CN"/>
      </w:rPr>
    </w:lvl>
    <w:lvl w:ilvl="5" w:tentative="0">
      <w:start w:val="0"/>
      <w:numFmt w:val="bullet"/>
      <w:lvlText w:val="•"/>
      <w:lvlJc w:val="left"/>
      <w:pPr>
        <w:ind w:left="5493" w:hanging="705"/>
      </w:pPr>
      <w:rPr>
        <w:rFonts w:hint="default"/>
        <w:lang w:val="zh-CN" w:eastAsia="zh-CN" w:bidi="zh-CN"/>
      </w:rPr>
    </w:lvl>
    <w:lvl w:ilvl="6" w:tentative="0">
      <w:start w:val="0"/>
      <w:numFmt w:val="bullet"/>
      <w:lvlText w:val="•"/>
      <w:lvlJc w:val="left"/>
      <w:pPr>
        <w:ind w:left="6371" w:hanging="705"/>
      </w:pPr>
      <w:rPr>
        <w:rFonts w:hint="default"/>
        <w:lang w:val="zh-CN" w:eastAsia="zh-CN" w:bidi="zh-CN"/>
      </w:rPr>
    </w:lvl>
    <w:lvl w:ilvl="7" w:tentative="0">
      <w:start w:val="0"/>
      <w:numFmt w:val="bullet"/>
      <w:lvlText w:val="•"/>
      <w:lvlJc w:val="left"/>
      <w:pPr>
        <w:ind w:left="7250" w:hanging="705"/>
      </w:pPr>
      <w:rPr>
        <w:rFonts w:hint="default"/>
        <w:lang w:val="zh-CN" w:eastAsia="zh-CN" w:bidi="zh-CN"/>
      </w:rPr>
    </w:lvl>
    <w:lvl w:ilvl="8" w:tentative="0">
      <w:start w:val="0"/>
      <w:numFmt w:val="bullet"/>
      <w:lvlText w:val="•"/>
      <w:lvlJc w:val="left"/>
      <w:pPr>
        <w:ind w:left="8129" w:hanging="705"/>
      </w:pPr>
      <w:rPr>
        <w:rFonts w:hint="default"/>
        <w:lang w:val="zh-CN" w:eastAsia="zh-CN" w:bidi="zh-CN"/>
      </w:rPr>
    </w:lvl>
  </w:abstractNum>
  <w:abstractNum w:abstractNumId="4">
    <w:nsid w:val="59969000"/>
    <w:multiLevelType w:val="singleLevel"/>
    <w:tmpl w:val="59969000"/>
    <w:lvl w:ilvl="0" w:tentative="0">
      <w:start w:val="1"/>
      <w:numFmt w:val="decimal"/>
      <w:lvlText w:val="(%1)"/>
      <w:lvlJc w:val="left"/>
      <w:pPr>
        <w:tabs>
          <w:tab w:val="left" w:pos="840"/>
        </w:tabs>
        <w:ind w:left="1265" w:hanging="425"/>
      </w:pPr>
      <w:rPr>
        <w:rFonts w:hint="default"/>
      </w:rPr>
    </w:lvl>
  </w:abstractNum>
  <w:abstractNum w:abstractNumId="5">
    <w:nsid w:val="59ADCABA"/>
    <w:multiLevelType w:val="multilevel"/>
    <w:tmpl w:val="59ADCABA"/>
    <w:lvl w:ilvl="0" w:tentative="0">
      <w:start w:val="1"/>
      <w:numFmt w:val="decimal"/>
      <w:lvlText w:val="（%1）"/>
      <w:lvlJc w:val="left"/>
      <w:pPr>
        <w:ind w:left="112" w:hanging="725"/>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096" w:hanging="725"/>
      </w:pPr>
      <w:rPr>
        <w:rFonts w:hint="default"/>
        <w:lang w:val="zh-CN" w:eastAsia="zh-CN" w:bidi="zh-CN"/>
      </w:rPr>
    </w:lvl>
    <w:lvl w:ilvl="2" w:tentative="0">
      <w:start w:val="0"/>
      <w:numFmt w:val="bullet"/>
      <w:lvlText w:val="•"/>
      <w:lvlJc w:val="left"/>
      <w:pPr>
        <w:ind w:left="2073" w:hanging="725"/>
      </w:pPr>
      <w:rPr>
        <w:rFonts w:hint="default"/>
        <w:lang w:val="zh-CN" w:eastAsia="zh-CN" w:bidi="zh-CN"/>
      </w:rPr>
    </w:lvl>
    <w:lvl w:ilvl="3" w:tentative="0">
      <w:start w:val="0"/>
      <w:numFmt w:val="bullet"/>
      <w:lvlText w:val="•"/>
      <w:lvlJc w:val="left"/>
      <w:pPr>
        <w:ind w:left="3049" w:hanging="725"/>
      </w:pPr>
      <w:rPr>
        <w:rFonts w:hint="default"/>
        <w:lang w:val="zh-CN" w:eastAsia="zh-CN" w:bidi="zh-CN"/>
      </w:rPr>
    </w:lvl>
    <w:lvl w:ilvl="4" w:tentative="0">
      <w:start w:val="0"/>
      <w:numFmt w:val="bullet"/>
      <w:lvlText w:val="•"/>
      <w:lvlJc w:val="left"/>
      <w:pPr>
        <w:ind w:left="4026" w:hanging="725"/>
      </w:pPr>
      <w:rPr>
        <w:rFonts w:hint="default"/>
        <w:lang w:val="zh-CN" w:eastAsia="zh-CN" w:bidi="zh-CN"/>
      </w:rPr>
    </w:lvl>
    <w:lvl w:ilvl="5" w:tentative="0">
      <w:start w:val="0"/>
      <w:numFmt w:val="bullet"/>
      <w:lvlText w:val="•"/>
      <w:lvlJc w:val="left"/>
      <w:pPr>
        <w:ind w:left="5003" w:hanging="725"/>
      </w:pPr>
      <w:rPr>
        <w:rFonts w:hint="default"/>
        <w:lang w:val="zh-CN" w:eastAsia="zh-CN" w:bidi="zh-CN"/>
      </w:rPr>
    </w:lvl>
    <w:lvl w:ilvl="6" w:tentative="0">
      <w:start w:val="0"/>
      <w:numFmt w:val="bullet"/>
      <w:lvlText w:val="•"/>
      <w:lvlJc w:val="left"/>
      <w:pPr>
        <w:ind w:left="5979" w:hanging="725"/>
      </w:pPr>
      <w:rPr>
        <w:rFonts w:hint="default"/>
        <w:lang w:val="zh-CN" w:eastAsia="zh-CN" w:bidi="zh-CN"/>
      </w:rPr>
    </w:lvl>
    <w:lvl w:ilvl="7" w:tentative="0">
      <w:start w:val="0"/>
      <w:numFmt w:val="bullet"/>
      <w:lvlText w:val="•"/>
      <w:lvlJc w:val="left"/>
      <w:pPr>
        <w:ind w:left="6956" w:hanging="725"/>
      </w:pPr>
      <w:rPr>
        <w:rFonts w:hint="default"/>
        <w:lang w:val="zh-CN" w:eastAsia="zh-CN" w:bidi="zh-CN"/>
      </w:rPr>
    </w:lvl>
    <w:lvl w:ilvl="8" w:tentative="0">
      <w:start w:val="0"/>
      <w:numFmt w:val="bullet"/>
      <w:lvlText w:val="•"/>
      <w:lvlJc w:val="left"/>
      <w:pPr>
        <w:ind w:left="7933" w:hanging="725"/>
      </w:pPr>
      <w:rPr>
        <w:rFonts w:hint="default"/>
        <w:lang w:val="zh-CN" w:eastAsia="zh-CN" w:bidi="zh-CN"/>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ZDMxNWRkYmY5MjE3NjUxYTk3ZDA1NDUyNmVkYWEifQ=="/>
    <w:docVar w:name="KSO_WPS_MARK_KEY" w:val="2abc332d-ca6f-4e5b-b90d-c9f18cd18433"/>
  </w:docVars>
  <w:rsids>
    <w:rsidRoot w:val="007A6281"/>
    <w:rsid w:val="00070FD8"/>
    <w:rsid w:val="000946EE"/>
    <w:rsid w:val="000B43F7"/>
    <w:rsid w:val="000E3334"/>
    <w:rsid w:val="00132165"/>
    <w:rsid w:val="001B3151"/>
    <w:rsid w:val="001D5073"/>
    <w:rsid w:val="002B04AF"/>
    <w:rsid w:val="002C45F0"/>
    <w:rsid w:val="003129A5"/>
    <w:rsid w:val="00354D95"/>
    <w:rsid w:val="003A1EDD"/>
    <w:rsid w:val="00400606"/>
    <w:rsid w:val="00412E3A"/>
    <w:rsid w:val="00420A15"/>
    <w:rsid w:val="0049259A"/>
    <w:rsid w:val="004D79DF"/>
    <w:rsid w:val="0050006F"/>
    <w:rsid w:val="00527E7E"/>
    <w:rsid w:val="00535EC9"/>
    <w:rsid w:val="0054550D"/>
    <w:rsid w:val="00644904"/>
    <w:rsid w:val="0065252C"/>
    <w:rsid w:val="00706F32"/>
    <w:rsid w:val="007224E1"/>
    <w:rsid w:val="007A5DF1"/>
    <w:rsid w:val="007A6281"/>
    <w:rsid w:val="00804C58"/>
    <w:rsid w:val="008F465B"/>
    <w:rsid w:val="009B26DB"/>
    <w:rsid w:val="00A76A95"/>
    <w:rsid w:val="00AD33A9"/>
    <w:rsid w:val="00B93341"/>
    <w:rsid w:val="00BF0631"/>
    <w:rsid w:val="00CB07C1"/>
    <w:rsid w:val="00D83955"/>
    <w:rsid w:val="00FA4271"/>
    <w:rsid w:val="00FF4E43"/>
    <w:rsid w:val="01A06D45"/>
    <w:rsid w:val="02571C51"/>
    <w:rsid w:val="04D05CEB"/>
    <w:rsid w:val="05843FDA"/>
    <w:rsid w:val="066E30C6"/>
    <w:rsid w:val="080B2B96"/>
    <w:rsid w:val="0A9C5771"/>
    <w:rsid w:val="0AD017D7"/>
    <w:rsid w:val="0C2B5E83"/>
    <w:rsid w:val="105656D9"/>
    <w:rsid w:val="13C7475D"/>
    <w:rsid w:val="13F357FA"/>
    <w:rsid w:val="15973CBB"/>
    <w:rsid w:val="19C92FDD"/>
    <w:rsid w:val="1E8F7C25"/>
    <w:rsid w:val="1F51312D"/>
    <w:rsid w:val="26B9211C"/>
    <w:rsid w:val="278B6ADD"/>
    <w:rsid w:val="2A257690"/>
    <w:rsid w:val="2A9C2048"/>
    <w:rsid w:val="2D1C4D7A"/>
    <w:rsid w:val="2DB9081B"/>
    <w:rsid w:val="303F594F"/>
    <w:rsid w:val="31931083"/>
    <w:rsid w:val="33EC7B9C"/>
    <w:rsid w:val="3544286B"/>
    <w:rsid w:val="3AD776B1"/>
    <w:rsid w:val="3CFC24D2"/>
    <w:rsid w:val="3ED92ACB"/>
    <w:rsid w:val="3FC80830"/>
    <w:rsid w:val="40384169"/>
    <w:rsid w:val="40393869"/>
    <w:rsid w:val="423727DA"/>
    <w:rsid w:val="43AB07E5"/>
    <w:rsid w:val="44973997"/>
    <w:rsid w:val="50783E92"/>
    <w:rsid w:val="515F1DCB"/>
    <w:rsid w:val="5367649F"/>
    <w:rsid w:val="545A0910"/>
    <w:rsid w:val="564B654C"/>
    <w:rsid w:val="57015376"/>
    <w:rsid w:val="595B4CF8"/>
    <w:rsid w:val="5D6B74D4"/>
    <w:rsid w:val="635F3637"/>
    <w:rsid w:val="6751773B"/>
    <w:rsid w:val="67D5211A"/>
    <w:rsid w:val="67F62478"/>
    <w:rsid w:val="6B6F4633"/>
    <w:rsid w:val="703C06FF"/>
    <w:rsid w:val="73F531FC"/>
    <w:rsid w:val="742D6E39"/>
    <w:rsid w:val="762124EE"/>
    <w:rsid w:val="7B574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6"/>
      <w:ind w:left="2945" w:right="313" w:hanging="2653"/>
      <w:outlineLvl w:val="0"/>
    </w:pPr>
    <w:rPr>
      <w:rFonts w:ascii="黑体" w:hAnsi="黑体" w:eastAsia="黑体" w:cs="黑体"/>
      <w:b/>
      <w:bCs/>
      <w:sz w:val="44"/>
      <w:szCs w:val="44"/>
    </w:rPr>
  </w:style>
  <w:style w:type="paragraph" w:styleId="3">
    <w:name w:val="heading 2"/>
    <w:basedOn w:val="1"/>
    <w:next w:val="1"/>
    <w:qFormat/>
    <w:uiPriority w:val="1"/>
    <w:pPr>
      <w:spacing w:before="49"/>
      <w:ind w:left="99"/>
      <w:outlineLvl w:val="1"/>
    </w:pPr>
    <w:rPr>
      <w:rFonts w:ascii="黑体" w:hAnsi="黑体" w:eastAsia="黑体" w:cs="黑体"/>
      <w:b/>
      <w:bCs/>
      <w:sz w:val="36"/>
      <w:szCs w:val="36"/>
    </w:rPr>
  </w:style>
  <w:style w:type="paragraph" w:styleId="4">
    <w:name w:val="heading 3"/>
    <w:basedOn w:val="1"/>
    <w:next w:val="1"/>
    <w:qFormat/>
    <w:uiPriority w:val="1"/>
    <w:pPr>
      <w:ind w:left="112"/>
      <w:outlineLvl w:val="2"/>
    </w:pPr>
    <w:rPr>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8"/>
      <w:szCs w:val="2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after="100"/>
    </w:pPr>
    <w:rPr>
      <w:sz w:val="24"/>
      <w:szCs w:val="20"/>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12" w:firstLine="281"/>
    </w:pPr>
  </w:style>
  <w:style w:type="paragraph" w:customStyle="1" w:styleId="13">
    <w:name w:val="Table Paragraph"/>
    <w:basedOn w:val="1"/>
    <w:qFormat/>
    <w:uiPriority w:val="1"/>
  </w:style>
  <w:style w:type="character" w:customStyle="1" w:styleId="14">
    <w:name w:val="页眉 字符"/>
    <w:basedOn w:val="10"/>
    <w:link w:val="7"/>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5597</Words>
  <Characters>5822</Characters>
  <Lines>40</Lines>
  <Paragraphs>11</Paragraphs>
  <TotalTime>8</TotalTime>
  <ScaleCrop>false</ScaleCrop>
  <LinksUpToDate>false</LinksUpToDate>
  <CharactersWithSpaces>6119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2023-03-30T06:06:00Z</dcterms:created>
  <dc:creator>微软（中国）有限公司</dc:creator>
  <cp:lastModifiedBy>荒岛少年</cp:lastModifiedBy>
  <cp:lastPrinted>2023-02-06T09:14:00Z</cp:lastPrinted>
  <dcterms:modified xsi:type="dcterms:W3CDTF">2024-12-27T11:48:48Z</dcterms:modified>
  <dc:title>2003销售年度运输服务供应商招标文件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Microsoft® Word 2021</vt:lpwstr>
  </property>
  <property fmtid="{D5CDD505-2E9C-101B-9397-08002B2CF9AE}" pid="4" name="LastSaved">
    <vt:filetime>2022-07-22T00:00:00Z</vt:filetime>
  </property>
  <property fmtid="{D5CDD505-2E9C-101B-9397-08002B2CF9AE}" pid="5" name="KSOProductBuildVer">
    <vt:lpwstr>2052-11.1.0.12165</vt:lpwstr>
  </property>
  <property fmtid="{D5CDD505-2E9C-101B-9397-08002B2CF9AE}" pid="6" name="ICV">
    <vt:lpwstr>C9428165BFA34E5A9BC5E08B26E92920</vt:lpwstr>
  </property>
</Properties>
</file>